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B6E" w:rsidRDefault="00577530" w:rsidP="009C4B6E">
      <w:pPr>
        <w:spacing w:after="0" w:line="240" w:lineRule="auto"/>
        <w:jc w:val="center"/>
        <w:rPr>
          <w:rFonts w:ascii="Arial" w:eastAsia="Times New Roman" w:hAnsi="Arial" w:cs="Arial"/>
          <w:color w:val="000000"/>
          <w:kern w:val="36"/>
          <w:sz w:val="29"/>
          <w:szCs w:val="29"/>
          <w:lang w:eastAsia="ru-RU"/>
        </w:rPr>
      </w:pPr>
      <w:r w:rsidRPr="00577530">
        <w:rPr>
          <w:rFonts w:ascii="Arial" w:eastAsia="Times New Roman" w:hAnsi="Arial" w:cs="Arial"/>
          <w:color w:val="000000"/>
          <w:kern w:val="36"/>
          <w:sz w:val="29"/>
          <w:szCs w:val="29"/>
          <w:lang w:eastAsia="ru-RU"/>
        </w:rPr>
        <w:t>Оценка эффект</w:t>
      </w:r>
      <w:r w:rsidR="009C4B6E">
        <w:rPr>
          <w:rFonts w:ascii="Arial" w:eastAsia="Times New Roman" w:hAnsi="Arial" w:cs="Arial"/>
          <w:color w:val="000000"/>
          <w:kern w:val="36"/>
          <w:sz w:val="29"/>
          <w:szCs w:val="29"/>
          <w:lang w:eastAsia="ru-RU"/>
        </w:rPr>
        <w:t>ивности инвестиционных проектов</w:t>
      </w:r>
    </w:p>
    <w:p w:rsidR="00577530" w:rsidRPr="00577530" w:rsidRDefault="00577530" w:rsidP="009C4B6E">
      <w:pPr>
        <w:spacing w:after="0" w:line="240" w:lineRule="auto"/>
        <w:jc w:val="center"/>
        <w:rPr>
          <w:rFonts w:ascii="Times New Roman" w:eastAsia="Times New Roman" w:hAnsi="Times New Roman" w:cs="Times New Roman"/>
          <w:sz w:val="24"/>
          <w:szCs w:val="24"/>
          <w:lang w:eastAsia="ru-RU"/>
        </w:rPr>
      </w:pPr>
      <w:r w:rsidRPr="00577530">
        <w:rPr>
          <w:rFonts w:ascii="Arial" w:eastAsia="Times New Roman" w:hAnsi="Arial" w:cs="Arial"/>
          <w:color w:val="000000"/>
          <w:kern w:val="36"/>
          <w:sz w:val="29"/>
          <w:szCs w:val="29"/>
          <w:lang w:eastAsia="ru-RU"/>
        </w:rPr>
        <w:t>и разработка бизнес-планов в электроэнергетике</w:t>
      </w:r>
      <w:r w:rsidRPr="00577530">
        <w:rPr>
          <w:rFonts w:ascii="Verdana" w:eastAsia="Times New Roman" w:hAnsi="Verdana" w:cs="Times New Roman"/>
          <w:color w:val="000000"/>
          <w:sz w:val="15"/>
          <w:szCs w:val="15"/>
          <w:lang w:eastAsia="ru-RU"/>
        </w:rPr>
        <w:br/>
      </w:r>
    </w:p>
    <w:p w:rsidR="00810F9C" w:rsidRDefault="00A36BB8" w:rsidP="009C4B6E">
      <w:pPr>
        <w:shd w:val="clear" w:color="auto" w:fill="FEFFFF"/>
        <w:spacing w:after="0" w:line="240" w:lineRule="auto"/>
        <w:jc w:val="both"/>
        <w:rPr>
          <w:rFonts w:ascii="Verdana" w:eastAsia="Times New Roman" w:hAnsi="Verdana" w:cs="Times New Roman"/>
          <w:color w:val="000000"/>
          <w:sz w:val="19"/>
          <w:szCs w:val="19"/>
          <w:lang w:eastAsia="ru-RU"/>
        </w:rPr>
      </w:pPr>
      <w:r w:rsidRPr="00A36BB8">
        <w:rPr>
          <w:rFonts w:ascii="Verdana" w:eastAsia="Times New Roman" w:hAnsi="Verdana" w:cs="Times New Roman"/>
          <w:color w:val="000000"/>
          <w:sz w:val="19"/>
          <w:szCs w:val="19"/>
          <w:lang w:eastAsia="ru-RU"/>
        </w:rPr>
        <w:t xml:space="preserve">Специалистами </w:t>
      </w:r>
      <w:r w:rsidR="006400F8">
        <w:rPr>
          <w:rFonts w:ascii="Verdana" w:eastAsia="Times New Roman" w:hAnsi="Verdana" w:cs="Times New Roman"/>
          <w:color w:val="000000"/>
          <w:sz w:val="19"/>
          <w:szCs w:val="19"/>
          <w:lang w:eastAsia="ru-RU"/>
        </w:rPr>
        <w:t xml:space="preserve">подразделения </w:t>
      </w:r>
      <w:r w:rsidRPr="00A36BB8">
        <w:rPr>
          <w:rFonts w:ascii="Verdana" w:eastAsia="Times New Roman" w:hAnsi="Verdana" w:cs="Times New Roman"/>
          <w:color w:val="000000"/>
          <w:sz w:val="19"/>
          <w:szCs w:val="19"/>
          <w:lang w:eastAsia="ru-RU"/>
        </w:rPr>
        <w:t>«</w:t>
      </w:r>
      <w:r w:rsidR="007579C4">
        <w:rPr>
          <w:rFonts w:ascii="Verdana" w:eastAsia="Times New Roman" w:hAnsi="Verdana" w:cs="Times New Roman"/>
          <w:color w:val="000000"/>
          <w:sz w:val="19"/>
          <w:szCs w:val="19"/>
          <w:lang w:eastAsia="ru-RU"/>
        </w:rPr>
        <w:t xml:space="preserve">Оценки </w:t>
      </w:r>
      <w:r w:rsidR="006400F8">
        <w:rPr>
          <w:rFonts w:ascii="Verdana" w:eastAsia="Times New Roman" w:hAnsi="Verdana" w:cs="Times New Roman"/>
          <w:color w:val="000000"/>
          <w:sz w:val="19"/>
          <w:szCs w:val="19"/>
          <w:lang w:eastAsia="ru-RU"/>
        </w:rPr>
        <w:t xml:space="preserve">экономической </w:t>
      </w:r>
      <w:r w:rsidR="007579C4">
        <w:rPr>
          <w:rFonts w:ascii="Verdana" w:eastAsia="Times New Roman" w:hAnsi="Verdana" w:cs="Times New Roman"/>
          <w:color w:val="000000"/>
          <w:sz w:val="19"/>
          <w:szCs w:val="19"/>
          <w:lang w:eastAsia="ru-RU"/>
        </w:rPr>
        <w:t>э</w:t>
      </w:r>
      <w:r w:rsidRPr="00A36BB8">
        <w:rPr>
          <w:rFonts w:ascii="Verdana" w:eastAsia="Times New Roman" w:hAnsi="Verdana" w:cs="Times New Roman"/>
          <w:color w:val="000000"/>
          <w:sz w:val="19"/>
          <w:szCs w:val="19"/>
          <w:lang w:eastAsia="ru-RU"/>
        </w:rPr>
        <w:t>ффективности», в сотрудничестве с ведущими специалистами других институтов отрасли, разработаны </w:t>
      </w:r>
      <w:r w:rsidRPr="00A36BB8">
        <w:rPr>
          <w:rFonts w:ascii="Verdana" w:eastAsia="Times New Roman" w:hAnsi="Verdana" w:cs="Times New Roman"/>
          <w:b/>
          <w:bCs/>
          <w:color w:val="000000"/>
          <w:sz w:val="19"/>
          <w:szCs w:val="19"/>
          <w:lang w:eastAsia="ru-RU"/>
        </w:rPr>
        <w:t xml:space="preserve">«Методические рекомендации по оценке эффективности и разработке инвестиционных проектов и </w:t>
      </w:r>
      <w:proofErr w:type="gramStart"/>
      <w:r w:rsidRPr="00A36BB8">
        <w:rPr>
          <w:rFonts w:ascii="Verdana" w:eastAsia="Times New Roman" w:hAnsi="Verdana" w:cs="Times New Roman"/>
          <w:b/>
          <w:bCs/>
          <w:color w:val="000000"/>
          <w:sz w:val="19"/>
          <w:szCs w:val="19"/>
          <w:lang w:eastAsia="ru-RU"/>
        </w:rPr>
        <w:t>бизнес–планов</w:t>
      </w:r>
      <w:proofErr w:type="gramEnd"/>
      <w:r w:rsidRPr="00A36BB8">
        <w:rPr>
          <w:rFonts w:ascii="Verdana" w:eastAsia="Times New Roman" w:hAnsi="Verdana" w:cs="Times New Roman"/>
          <w:b/>
          <w:bCs/>
          <w:color w:val="000000"/>
          <w:sz w:val="19"/>
          <w:szCs w:val="19"/>
          <w:lang w:eastAsia="ru-RU"/>
        </w:rPr>
        <w:t xml:space="preserve"> в электроэнергетике (с типовыми примерами)»</w:t>
      </w:r>
      <w:r w:rsidRPr="00A36BB8">
        <w:rPr>
          <w:rFonts w:ascii="Verdana" w:eastAsia="Times New Roman" w:hAnsi="Verdana" w:cs="Times New Roman"/>
          <w:color w:val="000000"/>
          <w:sz w:val="19"/>
          <w:szCs w:val="19"/>
          <w:lang w:eastAsia="ru-RU"/>
        </w:rPr>
        <w:t xml:space="preserve">. Рекомендации прошли экспертизу в </w:t>
      </w:r>
      <w:proofErr w:type="spellStart"/>
      <w:r w:rsidRPr="00A36BB8">
        <w:rPr>
          <w:rFonts w:ascii="Verdana" w:eastAsia="Times New Roman" w:hAnsi="Verdana" w:cs="Times New Roman"/>
          <w:color w:val="000000"/>
          <w:sz w:val="19"/>
          <w:szCs w:val="19"/>
          <w:lang w:eastAsia="ru-RU"/>
        </w:rPr>
        <w:t>Главгосэкспертизе</w:t>
      </w:r>
      <w:proofErr w:type="spellEnd"/>
      <w:r w:rsidRPr="00A36BB8">
        <w:rPr>
          <w:rFonts w:ascii="Verdana" w:eastAsia="Times New Roman" w:hAnsi="Verdana" w:cs="Times New Roman"/>
          <w:color w:val="000000"/>
          <w:sz w:val="19"/>
          <w:szCs w:val="19"/>
          <w:lang w:eastAsia="ru-RU"/>
        </w:rPr>
        <w:t xml:space="preserve"> России от 26.05.99 г. № 24–16–1/20–113 и утверждены </w:t>
      </w:r>
      <w:r w:rsidRPr="00C158D4">
        <w:rPr>
          <w:rFonts w:ascii="Verdana" w:eastAsia="Times New Roman" w:hAnsi="Verdana" w:cs="Times New Roman"/>
          <w:color w:val="000000"/>
          <w:sz w:val="19"/>
          <w:szCs w:val="19"/>
          <w:lang w:eastAsia="ru-RU"/>
        </w:rPr>
        <w:t xml:space="preserve">приказом ОАО РАО «ЕЭС России» от 31.03.2008 № 155 </w:t>
      </w:r>
      <w:hyperlink r:id="rId8" w:history="1">
        <w:r w:rsidRPr="00D7159C">
          <w:rPr>
            <w:rStyle w:val="a5"/>
            <w:rFonts w:ascii="Verdana" w:eastAsia="Times New Roman" w:hAnsi="Verdana" w:cs="Times New Roman"/>
            <w:sz w:val="19"/>
            <w:szCs w:val="19"/>
            <w:lang w:eastAsia="ru-RU"/>
          </w:rPr>
          <w:t>(Приложение 2)</w:t>
        </w:r>
      </w:hyperlink>
      <w:r w:rsidRPr="00A36BB8">
        <w:rPr>
          <w:rFonts w:ascii="Verdana" w:eastAsia="Times New Roman" w:hAnsi="Verdana" w:cs="Times New Roman"/>
          <w:color w:val="000000"/>
          <w:sz w:val="19"/>
          <w:szCs w:val="19"/>
          <w:lang w:eastAsia="ru-RU"/>
        </w:rPr>
        <w:t>.</w:t>
      </w:r>
    </w:p>
    <w:p w:rsidR="00A36BB8" w:rsidRPr="00A36BB8" w:rsidRDefault="00A36BB8" w:rsidP="009C4B6E">
      <w:pPr>
        <w:shd w:val="clear" w:color="auto" w:fill="FEFFFF"/>
        <w:spacing w:after="0" w:line="240" w:lineRule="auto"/>
        <w:jc w:val="both"/>
        <w:rPr>
          <w:rFonts w:ascii="Verdana" w:eastAsia="Times New Roman" w:hAnsi="Verdana" w:cs="Times New Roman"/>
          <w:color w:val="000000"/>
          <w:sz w:val="19"/>
          <w:szCs w:val="19"/>
          <w:lang w:eastAsia="ru-RU"/>
        </w:rPr>
      </w:pPr>
      <w:r w:rsidRPr="00A36BB8">
        <w:rPr>
          <w:rFonts w:ascii="Verdana" w:eastAsia="Times New Roman" w:hAnsi="Verdana" w:cs="Times New Roman"/>
          <w:color w:val="000000"/>
          <w:sz w:val="19"/>
          <w:szCs w:val="19"/>
          <w:lang w:eastAsia="ru-RU"/>
        </w:rPr>
        <w:t> </w:t>
      </w:r>
      <w:r w:rsidRPr="00A36BB8">
        <w:rPr>
          <w:rFonts w:ascii="Verdana" w:eastAsia="Times New Roman" w:hAnsi="Verdana" w:cs="Times New Roman"/>
          <w:color w:val="000000"/>
          <w:sz w:val="19"/>
          <w:szCs w:val="19"/>
          <w:lang w:eastAsia="ru-RU"/>
        </w:rPr>
        <w:br/>
        <w:t xml:space="preserve">Это третье, дополненное и переработанное издание, при подготовке которого учтены требования общефедерального «Положения об оценке эффективности инвестиционных проектов при размещении на конкурсной основе инвестиционных ресурсов Бюджета развития Российской Федерации». «Методические рекомендации…» содержат необходимые подробные алгоритмы и конкретные формулы расчётов в виде электронных таблиц, а также полномасштабные типовые примеры расчётов эффективности для различных типов </w:t>
      </w:r>
      <w:r w:rsidR="009F1513">
        <w:rPr>
          <w:rFonts w:ascii="Verdana" w:eastAsia="Times New Roman" w:hAnsi="Verdana" w:cs="Times New Roman"/>
          <w:color w:val="000000"/>
          <w:sz w:val="19"/>
          <w:szCs w:val="19"/>
          <w:lang w:eastAsia="ru-RU"/>
        </w:rPr>
        <w:t>электро</w:t>
      </w:r>
      <w:r w:rsidRPr="00A36BB8">
        <w:rPr>
          <w:rFonts w:ascii="Verdana" w:eastAsia="Times New Roman" w:hAnsi="Verdana" w:cs="Times New Roman"/>
          <w:color w:val="000000"/>
          <w:sz w:val="19"/>
          <w:szCs w:val="19"/>
          <w:lang w:eastAsia="ru-RU"/>
        </w:rPr>
        <w:t>энергетических объектов, включая развитие электросетевых компаний.</w:t>
      </w:r>
    </w:p>
    <w:p w:rsidR="00A36BB8" w:rsidRPr="00A36BB8" w:rsidRDefault="00A36BB8" w:rsidP="009C4B6E">
      <w:pPr>
        <w:shd w:val="clear" w:color="auto" w:fill="FEFFFF"/>
        <w:spacing w:after="0" w:line="240" w:lineRule="auto"/>
        <w:jc w:val="both"/>
        <w:rPr>
          <w:rFonts w:ascii="Verdana" w:eastAsia="Times New Roman" w:hAnsi="Verdana" w:cs="Times New Roman"/>
          <w:color w:val="000000"/>
          <w:sz w:val="19"/>
          <w:szCs w:val="19"/>
          <w:lang w:eastAsia="ru-RU"/>
        </w:rPr>
      </w:pPr>
    </w:p>
    <w:p w:rsidR="00A36BB8" w:rsidRPr="00A36BB8" w:rsidRDefault="00CC3030" w:rsidP="009C4B6E">
      <w:pPr>
        <w:shd w:val="clear" w:color="auto" w:fill="FEFFFF"/>
        <w:spacing w:after="0" w:line="240" w:lineRule="auto"/>
        <w:jc w:val="both"/>
        <w:rPr>
          <w:rFonts w:ascii="Verdana" w:eastAsia="Times New Roman" w:hAnsi="Verdana" w:cs="Times New Roman"/>
          <w:color w:val="000000"/>
          <w:sz w:val="19"/>
          <w:szCs w:val="19"/>
          <w:lang w:eastAsia="ru-RU"/>
        </w:rPr>
      </w:pPr>
      <w:r>
        <w:rPr>
          <w:rFonts w:ascii="Verdana" w:eastAsia="Times New Roman" w:hAnsi="Verdana" w:cs="Times New Roman"/>
          <w:b/>
          <w:bCs/>
          <w:color w:val="000000"/>
          <w:sz w:val="19"/>
          <w:szCs w:val="19"/>
          <w:lang w:eastAsia="ru-RU"/>
        </w:rPr>
        <w:t>Электро</w:t>
      </w:r>
      <w:r w:rsidRPr="00A36BB8">
        <w:rPr>
          <w:rFonts w:ascii="Verdana" w:eastAsia="Times New Roman" w:hAnsi="Verdana" w:cs="Times New Roman"/>
          <w:b/>
          <w:bCs/>
          <w:color w:val="000000"/>
          <w:sz w:val="19"/>
          <w:szCs w:val="19"/>
          <w:lang w:eastAsia="ru-RU"/>
        </w:rPr>
        <w:t>энергетические</w:t>
      </w:r>
      <w:r w:rsidR="00A36BB8" w:rsidRPr="00A36BB8">
        <w:rPr>
          <w:rFonts w:ascii="Verdana" w:eastAsia="Times New Roman" w:hAnsi="Verdana" w:cs="Times New Roman"/>
          <w:b/>
          <w:bCs/>
          <w:color w:val="000000"/>
          <w:sz w:val="19"/>
          <w:szCs w:val="19"/>
          <w:lang w:eastAsia="ru-RU"/>
        </w:rPr>
        <w:t xml:space="preserve"> генерирующие и сетевые компании, проектные организации и инженерные</w:t>
      </w:r>
      <w:r w:rsidR="00B2380F">
        <w:rPr>
          <w:rFonts w:ascii="Verdana" w:eastAsia="Times New Roman" w:hAnsi="Verdana" w:cs="Times New Roman"/>
          <w:b/>
          <w:bCs/>
          <w:color w:val="000000"/>
          <w:sz w:val="19"/>
          <w:szCs w:val="19"/>
          <w:lang w:eastAsia="ru-RU"/>
        </w:rPr>
        <w:t xml:space="preserve"> </w:t>
      </w:r>
      <w:r w:rsidR="00A36BB8" w:rsidRPr="00A36BB8">
        <w:rPr>
          <w:rFonts w:ascii="Verdana" w:eastAsia="Times New Roman" w:hAnsi="Verdana" w:cs="Times New Roman"/>
          <w:b/>
          <w:bCs/>
          <w:color w:val="000000"/>
          <w:sz w:val="19"/>
          <w:szCs w:val="19"/>
          <w:lang w:eastAsia="ru-RU"/>
        </w:rPr>
        <w:t>центры</w:t>
      </w:r>
      <w:r w:rsidR="00A36BB8" w:rsidRPr="00A36BB8">
        <w:rPr>
          <w:rFonts w:ascii="Verdana" w:eastAsia="Times New Roman" w:hAnsi="Verdana" w:cs="Times New Roman"/>
          <w:color w:val="000000"/>
          <w:sz w:val="19"/>
          <w:szCs w:val="19"/>
          <w:lang w:eastAsia="ru-RU"/>
        </w:rPr>
        <w:t xml:space="preserve"> найдут здесь детально проработанные ответы на вопросы, связанные </w:t>
      </w:r>
      <w:proofErr w:type="gramStart"/>
      <w:r w:rsidR="00A36BB8" w:rsidRPr="00A36BB8">
        <w:rPr>
          <w:rFonts w:ascii="Verdana" w:eastAsia="Times New Roman" w:hAnsi="Verdana" w:cs="Times New Roman"/>
          <w:color w:val="000000"/>
          <w:sz w:val="19"/>
          <w:szCs w:val="19"/>
          <w:lang w:eastAsia="ru-RU"/>
        </w:rPr>
        <w:t>с</w:t>
      </w:r>
      <w:proofErr w:type="gramEnd"/>
      <w:r w:rsidR="00A36BB8" w:rsidRPr="00A36BB8">
        <w:rPr>
          <w:rFonts w:ascii="Verdana" w:eastAsia="Times New Roman" w:hAnsi="Verdana" w:cs="Times New Roman"/>
          <w:color w:val="000000"/>
          <w:sz w:val="19"/>
          <w:szCs w:val="19"/>
          <w:lang w:eastAsia="ru-RU"/>
        </w:rPr>
        <w:t>:</w:t>
      </w:r>
    </w:p>
    <w:p w:rsidR="00A36BB8" w:rsidRPr="00A36BB8" w:rsidRDefault="00A36BB8" w:rsidP="009C4B6E">
      <w:pPr>
        <w:numPr>
          <w:ilvl w:val="0"/>
          <w:numId w:val="3"/>
        </w:numPr>
        <w:shd w:val="clear" w:color="auto" w:fill="FEFFFF"/>
        <w:spacing w:before="100" w:beforeAutospacing="1" w:after="100" w:afterAutospacing="1" w:line="240" w:lineRule="auto"/>
        <w:ind w:left="426"/>
        <w:jc w:val="both"/>
        <w:rPr>
          <w:rFonts w:ascii="Verdana" w:eastAsia="Times New Roman" w:hAnsi="Verdana" w:cs="Times New Roman"/>
          <w:color w:val="000000"/>
          <w:sz w:val="19"/>
          <w:szCs w:val="19"/>
          <w:lang w:eastAsia="ru-RU"/>
        </w:rPr>
      </w:pPr>
      <w:r w:rsidRPr="00A36BB8">
        <w:rPr>
          <w:rFonts w:ascii="Verdana" w:eastAsia="Times New Roman" w:hAnsi="Verdana" w:cs="Times New Roman"/>
          <w:color w:val="000000"/>
          <w:sz w:val="19"/>
          <w:szCs w:val="19"/>
          <w:lang w:eastAsia="ru-RU"/>
        </w:rPr>
        <w:t>оценкой эффективности нового строительства</w:t>
      </w:r>
      <w:r w:rsidR="00B4222F">
        <w:rPr>
          <w:rFonts w:ascii="Verdana" w:eastAsia="Times New Roman" w:hAnsi="Verdana" w:cs="Times New Roman"/>
          <w:color w:val="000000"/>
          <w:sz w:val="19"/>
          <w:szCs w:val="19"/>
          <w:lang w:eastAsia="ru-RU"/>
        </w:rPr>
        <w:t xml:space="preserve"> и расширения</w:t>
      </w:r>
      <w:r w:rsidRPr="00A36BB8">
        <w:rPr>
          <w:rFonts w:ascii="Verdana" w:eastAsia="Times New Roman" w:hAnsi="Verdana" w:cs="Times New Roman"/>
          <w:color w:val="000000"/>
          <w:sz w:val="19"/>
          <w:szCs w:val="19"/>
          <w:lang w:eastAsia="ru-RU"/>
        </w:rPr>
        <w:t>;</w:t>
      </w:r>
    </w:p>
    <w:p w:rsidR="00A36BB8" w:rsidRPr="00A36BB8" w:rsidRDefault="00A36BB8" w:rsidP="009C4B6E">
      <w:pPr>
        <w:numPr>
          <w:ilvl w:val="0"/>
          <w:numId w:val="3"/>
        </w:numPr>
        <w:shd w:val="clear" w:color="auto" w:fill="FEFFFF"/>
        <w:spacing w:before="100" w:beforeAutospacing="1" w:after="100" w:afterAutospacing="1" w:line="240" w:lineRule="auto"/>
        <w:ind w:left="426"/>
        <w:jc w:val="both"/>
        <w:rPr>
          <w:rFonts w:ascii="Verdana" w:eastAsia="Times New Roman" w:hAnsi="Verdana" w:cs="Times New Roman"/>
          <w:color w:val="000000"/>
          <w:sz w:val="19"/>
          <w:szCs w:val="19"/>
          <w:lang w:eastAsia="ru-RU"/>
        </w:rPr>
      </w:pPr>
      <w:r w:rsidRPr="00A36BB8">
        <w:rPr>
          <w:rFonts w:ascii="Verdana" w:eastAsia="Times New Roman" w:hAnsi="Verdana" w:cs="Times New Roman"/>
          <w:color w:val="000000"/>
          <w:sz w:val="19"/>
          <w:szCs w:val="19"/>
          <w:lang w:eastAsia="ru-RU"/>
        </w:rPr>
        <w:t>оценкой эффективности реконструкции</w:t>
      </w:r>
      <w:r w:rsidR="00B2380F">
        <w:rPr>
          <w:rFonts w:ascii="Verdana" w:eastAsia="Times New Roman" w:hAnsi="Verdana" w:cs="Times New Roman"/>
          <w:color w:val="000000"/>
          <w:sz w:val="19"/>
          <w:szCs w:val="19"/>
          <w:lang w:eastAsia="ru-RU"/>
        </w:rPr>
        <w:t xml:space="preserve"> и модернизации</w:t>
      </w:r>
      <w:r w:rsidRPr="00A36BB8">
        <w:rPr>
          <w:rFonts w:ascii="Verdana" w:eastAsia="Times New Roman" w:hAnsi="Verdana" w:cs="Times New Roman"/>
          <w:color w:val="000000"/>
          <w:sz w:val="19"/>
          <w:szCs w:val="19"/>
          <w:lang w:eastAsia="ru-RU"/>
        </w:rPr>
        <w:t xml:space="preserve"> энергетических объектов;</w:t>
      </w:r>
    </w:p>
    <w:p w:rsidR="00A36BB8" w:rsidRPr="00A36BB8" w:rsidRDefault="00A36BB8" w:rsidP="009C4B6E">
      <w:pPr>
        <w:numPr>
          <w:ilvl w:val="0"/>
          <w:numId w:val="3"/>
        </w:numPr>
        <w:shd w:val="clear" w:color="auto" w:fill="FEFFFF"/>
        <w:spacing w:before="100" w:beforeAutospacing="1" w:after="100" w:afterAutospacing="1" w:line="240" w:lineRule="auto"/>
        <w:ind w:left="426"/>
        <w:jc w:val="both"/>
        <w:rPr>
          <w:rFonts w:ascii="Verdana" w:eastAsia="Times New Roman" w:hAnsi="Verdana" w:cs="Times New Roman"/>
          <w:color w:val="000000"/>
          <w:sz w:val="19"/>
          <w:szCs w:val="19"/>
          <w:lang w:eastAsia="ru-RU"/>
        </w:rPr>
      </w:pPr>
      <w:r w:rsidRPr="00A36BB8">
        <w:rPr>
          <w:rFonts w:ascii="Verdana" w:eastAsia="Times New Roman" w:hAnsi="Verdana" w:cs="Times New Roman"/>
          <w:color w:val="000000"/>
          <w:sz w:val="19"/>
          <w:szCs w:val="19"/>
          <w:lang w:eastAsia="ru-RU"/>
        </w:rPr>
        <w:t>особенностями оценки проектов ЛЭП и тепловых сетей;</w:t>
      </w:r>
    </w:p>
    <w:p w:rsidR="00A36BB8" w:rsidRPr="00A36BB8" w:rsidRDefault="00A36BB8" w:rsidP="009C4B6E">
      <w:pPr>
        <w:numPr>
          <w:ilvl w:val="0"/>
          <w:numId w:val="3"/>
        </w:numPr>
        <w:shd w:val="clear" w:color="auto" w:fill="FEFFFF"/>
        <w:spacing w:before="100" w:beforeAutospacing="1" w:after="100" w:afterAutospacing="1" w:line="240" w:lineRule="auto"/>
        <w:ind w:left="426"/>
        <w:jc w:val="both"/>
        <w:rPr>
          <w:rFonts w:ascii="Verdana" w:eastAsia="Times New Roman" w:hAnsi="Verdana" w:cs="Times New Roman"/>
          <w:color w:val="000000"/>
          <w:sz w:val="19"/>
          <w:szCs w:val="19"/>
          <w:lang w:eastAsia="ru-RU"/>
        </w:rPr>
      </w:pPr>
      <w:r w:rsidRPr="00A36BB8">
        <w:rPr>
          <w:rFonts w:ascii="Verdana" w:eastAsia="Times New Roman" w:hAnsi="Verdana" w:cs="Times New Roman"/>
          <w:color w:val="000000"/>
          <w:sz w:val="19"/>
          <w:szCs w:val="19"/>
          <w:lang w:eastAsia="ru-RU"/>
        </w:rPr>
        <w:t>дополнительными возможностями финансирования проектов энергообъектов посредством финансового лизинга и др.</w:t>
      </w:r>
    </w:p>
    <w:p w:rsidR="00A36BB8" w:rsidRPr="00A36BB8" w:rsidRDefault="00A36BB8" w:rsidP="009C4B6E">
      <w:pPr>
        <w:shd w:val="clear" w:color="auto" w:fill="FEFFFF"/>
        <w:spacing w:after="0" w:line="240" w:lineRule="auto"/>
        <w:jc w:val="both"/>
        <w:rPr>
          <w:rFonts w:ascii="Verdana" w:eastAsia="Times New Roman" w:hAnsi="Verdana" w:cs="Times New Roman"/>
          <w:color w:val="000000"/>
          <w:sz w:val="19"/>
          <w:szCs w:val="19"/>
          <w:lang w:eastAsia="ru-RU"/>
        </w:rPr>
      </w:pPr>
      <w:r w:rsidRPr="00A36BB8">
        <w:rPr>
          <w:rFonts w:ascii="Verdana" w:eastAsia="Times New Roman" w:hAnsi="Verdana" w:cs="Times New Roman"/>
          <w:color w:val="000000"/>
          <w:sz w:val="19"/>
          <w:szCs w:val="19"/>
          <w:lang w:eastAsia="ru-RU"/>
        </w:rPr>
        <w:t xml:space="preserve">Использование уточнённых методических рекомендаций позволяет осуществлять подготовку инвестиционных проектов и </w:t>
      </w:r>
      <w:proofErr w:type="gramStart"/>
      <w:r w:rsidRPr="00A36BB8">
        <w:rPr>
          <w:rFonts w:ascii="Verdana" w:eastAsia="Times New Roman" w:hAnsi="Verdana" w:cs="Times New Roman"/>
          <w:color w:val="000000"/>
          <w:sz w:val="19"/>
          <w:szCs w:val="19"/>
          <w:lang w:eastAsia="ru-RU"/>
        </w:rPr>
        <w:t>бизнес–планов</w:t>
      </w:r>
      <w:proofErr w:type="gramEnd"/>
      <w:r w:rsidRPr="00A36BB8">
        <w:rPr>
          <w:rFonts w:ascii="Verdana" w:eastAsia="Times New Roman" w:hAnsi="Verdana" w:cs="Times New Roman"/>
          <w:color w:val="000000"/>
          <w:sz w:val="19"/>
          <w:szCs w:val="19"/>
          <w:lang w:eastAsia="ru-RU"/>
        </w:rPr>
        <w:t xml:space="preserve"> в соответствии с общепринятыми международными требованиями.</w:t>
      </w:r>
    </w:p>
    <w:p w:rsidR="00A36BB8" w:rsidRPr="00A36BB8" w:rsidRDefault="00A36BB8" w:rsidP="009C4B6E">
      <w:pPr>
        <w:shd w:val="clear" w:color="auto" w:fill="FEFFFF"/>
        <w:spacing w:after="0" w:line="240" w:lineRule="auto"/>
        <w:jc w:val="both"/>
        <w:rPr>
          <w:rFonts w:ascii="Verdana" w:eastAsia="Times New Roman" w:hAnsi="Verdana" w:cs="Times New Roman"/>
          <w:color w:val="000000"/>
          <w:sz w:val="19"/>
          <w:szCs w:val="19"/>
          <w:lang w:eastAsia="ru-RU"/>
        </w:rPr>
      </w:pPr>
    </w:p>
    <w:p w:rsidR="00A36BB8" w:rsidRPr="00A36BB8" w:rsidRDefault="00A36BB8" w:rsidP="009C4B6E">
      <w:pPr>
        <w:shd w:val="clear" w:color="auto" w:fill="FEFFFF"/>
        <w:spacing w:after="0" w:line="240" w:lineRule="auto"/>
        <w:jc w:val="both"/>
        <w:rPr>
          <w:rFonts w:ascii="Verdana" w:eastAsia="Times New Roman" w:hAnsi="Verdana" w:cs="Times New Roman"/>
          <w:color w:val="000000"/>
          <w:sz w:val="19"/>
          <w:szCs w:val="19"/>
          <w:lang w:eastAsia="ru-RU"/>
        </w:rPr>
      </w:pPr>
      <w:r w:rsidRPr="00A36BB8">
        <w:rPr>
          <w:rFonts w:ascii="Verdana" w:eastAsia="Times New Roman" w:hAnsi="Verdana" w:cs="Times New Roman"/>
          <w:color w:val="000000"/>
          <w:sz w:val="19"/>
          <w:szCs w:val="19"/>
          <w:lang w:eastAsia="ru-RU"/>
        </w:rPr>
        <w:t>Имеются инструменты (программные комплексы) для проведения следующих типов расчёта:</w:t>
      </w:r>
    </w:p>
    <w:p w:rsidR="00A36BB8" w:rsidRPr="00A36BB8" w:rsidRDefault="00B4222F" w:rsidP="009C4B6E">
      <w:pPr>
        <w:numPr>
          <w:ilvl w:val="0"/>
          <w:numId w:val="4"/>
        </w:numPr>
        <w:shd w:val="clear" w:color="auto" w:fill="FEFFFF"/>
        <w:spacing w:before="100" w:beforeAutospacing="1" w:after="100" w:afterAutospacing="1" w:line="240" w:lineRule="auto"/>
        <w:ind w:left="426"/>
        <w:jc w:val="both"/>
        <w:rPr>
          <w:rFonts w:ascii="Verdana" w:eastAsia="Times New Roman" w:hAnsi="Verdana" w:cs="Times New Roman"/>
          <w:color w:val="000000"/>
          <w:sz w:val="19"/>
          <w:szCs w:val="19"/>
          <w:lang w:eastAsia="ru-RU"/>
        </w:rPr>
      </w:pPr>
      <w:r>
        <w:rPr>
          <w:rFonts w:ascii="Verdana" w:eastAsia="Times New Roman" w:hAnsi="Verdana" w:cs="Times New Roman"/>
          <w:b/>
          <w:bCs/>
          <w:color w:val="000000"/>
          <w:sz w:val="19"/>
          <w:szCs w:val="19"/>
          <w:lang w:eastAsia="ru-RU"/>
        </w:rPr>
        <w:t>О</w:t>
      </w:r>
      <w:r w:rsidR="00A36BB8" w:rsidRPr="00A36BB8">
        <w:rPr>
          <w:rFonts w:ascii="Verdana" w:eastAsia="Times New Roman" w:hAnsi="Verdana" w:cs="Times New Roman"/>
          <w:b/>
          <w:bCs/>
          <w:color w:val="000000"/>
          <w:sz w:val="19"/>
          <w:szCs w:val="19"/>
          <w:lang w:eastAsia="ru-RU"/>
        </w:rPr>
        <w:t>ценки эффективности инвестиционных проектов:</w:t>
      </w:r>
    </w:p>
    <w:p w:rsidR="00A36BB8" w:rsidRPr="00A36BB8" w:rsidRDefault="00A36BB8" w:rsidP="009C4B6E">
      <w:pPr>
        <w:numPr>
          <w:ilvl w:val="0"/>
          <w:numId w:val="3"/>
        </w:numPr>
        <w:shd w:val="clear" w:color="auto" w:fill="FEFFFF"/>
        <w:spacing w:before="100" w:beforeAutospacing="1" w:after="100" w:afterAutospacing="1" w:line="240" w:lineRule="auto"/>
        <w:ind w:left="426"/>
        <w:jc w:val="both"/>
        <w:rPr>
          <w:rFonts w:ascii="Verdana" w:eastAsia="Times New Roman" w:hAnsi="Verdana" w:cs="Times New Roman"/>
          <w:color w:val="000000"/>
          <w:sz w:val="19"/>
          <w:szCs w:val="19"/>
          <w:lang w:eastAsia="ru-RU"/>
        </w:rPr>
      </w:pPr>
      <w:r w:rsidRPr="00A36BB8">
        <w:rPr>
          <w:rFonts w:ascii="Verdana" w:eastAsia="Times New Roman" w:hAnsi="Verdana" w:cs="Times New Roman"/>
          <w:color w:val="000000"/>
          <w:sz w:val="19"/>
          <w:szCs w:val="19"/>
          <w:lang w:eastAsia="ru-RU"/>
        </w:rPr>
        <w:t>оценки бюджетной и социальной</w:t>
      </w:r>
      <w:r w:rsidR="00B4222F">
        <w:rPr>
          <w:rFonts w:ascii="Verdana" w:eastAsia="Times New Roman" w:hAnsi="Verdana" w:cs="Times New Roman"/>
          <w:color w:val="000000"/>
          <w:sz w:val="19"/>
          <w:szCs w:val="19"/>
          <w:lang w:eastAsia="ru-RU"/>
        </w:rPr>
        <w:t xml:space="preserve"> (общественной)</w:t>
      </w:r>
      <w:r w:rsidRPr="00A36BB8">
        <w:rPr>
          <w:rFonts w:ascii="Verdana" w:eastAsia="Times New Roman" w:hAnsi="Verdana" w:cs="Times New Roman"/>
          <w:color w:val="000000"/>
          <w:sz w:val="19"/>
          <w:szCs w:val="19"/>
          <w:lang w:eastAsia="ru-RU"/>
        </w:rPr>
        <w:t xml:space="preserve"> эффективности инвестиционных проектов;</w:t>
      </w:r>
    </w:p>
    <w:p w:rsidR="00A36BB8" w:rsidRPr="00A36BB8" w:rsidRDefault="00A36BB8" w:rsidP="009C4B6E">
      <w:pPr>
        <w:numPr>
          <w:ilvl w:val="0"/>
          <w:numId w:val="3"/>
        </w:numPr>
        <w:shd w:val="clear" w:color="auto" w:fill="FEFFFF"/>
        <w:spacing w:before="100" w:beforeAutospacing="1" w:after="100" w:afterAutospacing="1" w:line="240" w:lineRule="auto"/>
        <w:ind w:left="426"/>
        <w:jc w:val="both"/>
        <w:rPr>
          <w:rFonts w:ascii="Verdana" w:eastAsia="Times New Roman" w:hAnsi="Verdana" w:cs="Times New Roman"/>
          <w:color w:val="000000"/>
          <w:sz w:val="19"/>
          <w:szCs w:val="19"/>
          <w:lang w:eastAsia="ru-RU"/>
        </w:rPr>
      </w:pPr>
      <w:r w:rsidRPr="00A36BB8">
        <w:rPr>
          <w:rFonts w:ascii="Verdana" w:eastAsia="Times New Roman" w:hAnsi="Verdana" w:cs="Times New Roman"/>
          <w:color w:val="000000"/>
          <w:sz w:val="19"/>
          <w:szCs w:val="19"/>
          <w:lang w:eastAsia="ru-RU"/>
        </w:rPr>
        <w:t>оценки финансово–коммерческой эффективности инвестиционных проектов;</w:t>
      </w:r>
    </w:p>
    <w:p w:rsidR="00A36BB8" w:rsidRPr="00A36BB8" w:rsidRDefault="00A36BB8" w:rsidP="009C4B6E">
      <w:pPr>
        <w:numPr>
          <w:ilvl w:val="0"/>
          <w:numId w:val="3"/>
        </w:numPr>
        <w:shd w:val="clear" w:color="auto" w:fill="FEFFFF"/>
        <w:spacing w:before="100" w:beforeAutospacing="1" w:after="100" w:afterAutospacing="1" w:line="240" w:lineRule="auto"/>
        <w:ind w:left="426"/>
        <w:jc w:val="both"/>
        <w:rPr>
          <w:rFonts w:ascii="Verdana" w:eastAsia="Times New Roman" w:hAnsi="Verdana" w:cs="Times New Roman"/>
          <w:color w:val="000000"/>
          <w:sz w:val="19"/>
          <w:szCs w:val="19"/>
          <w:lang w:eastAsia="ru-RU"/>
        </w:rPr>
      </w:pPr>
      <w:r w:rsidRPr="00A36BB8">
        <w:rPr>
          <w:rFonts w:ascii="Verdana" w:eastAsia="Times New Roman" w:hAnsi="Verdana" w:cs="Times New Roman"/>
          <w:color w:val="000000"/>
          <w:sz w:val="19"/>
          <w:szCs w:val="19"/>
          <w:lang w:eastAsia="ru-RU"/>
        </w:rPr>
        <w:t>анализа чувствительности и рисков инвестиционных проектов;</w:t>
      </w:r>
    </w:p>
    <w:p w:rsidR="00A36BB8" w:rsidRPr="00A36BB8" w:rsidRDefault="00A36BB8" w:rsidP="009C4B6E">
      <w:pPr>
        <w:numPr>
          <w:ilvl w:val="0"/>
          <w:numId w:val="3"/>
        </w:numPr>
        <w:shd w:val="clear" w:color="auto" w:fill="FEFFFF"/>
        <w:spacing w:before="100" w:beforeAutospacing="1" w:after="100" w:afterAutospacing="1" w:line="240" w:lineRule="auto"/>
        <w:ind w:left="426"/>
        <w:jc w:val="both"/>
        <w:rPr>
          <w:rFonts w:ascii="Verdana" w:eastAsia="Times New Roman" w:hAnsi="Verdana" w:cs="Times New Roman"/>
          <w:color w:val="000000"/>
          <w:sz w:val="19"/>
          <w:szCs w:val="19"/>
          <w:lang w:eastAsia="ru-RU"/>
        </w:rPr>
      </w:pPr>
      <w:r w:rsidRPr="00A36BB8">
        <w:rPr>
          <w:rFonts w:ascii="Verdana" w:eastAsia="Times New Roman" w:hAnsi="Verdana" w:cs="Times New Roman"/>
          <w:color w:val="000000"/>
          <w:sz w:val="19"/>
          <w:szCs w:val="19"/>
          <w:lang w:eastAsia="ru-RU"/>
        </w:rPr>
        <w:t>определения тарифа самоокупаемости вложенных инвестиций;</w:t>
      </w:r>
    </w:p>
    <w:p w:rsidR="00A36BB8" w:rsidRPr="00A36BB8" w:rsidRDefault="00A36BB8" w:rsidP="009C4B6E">
      <w:pPr>
        <w:numPr>
          <w:ilvl w:val="0"/>
          <w:numId w:val="3"/>
        </w:numPr>
        <w:shd w:val="clear" w:color="auto" w:fill="FEFFFF"/>
        <w:spacing w:before="100" w:beforeAutospacing="1" w:after="100" w:afterAutospacing="1" w:line="240" w:lineRule="auto"/>
        <w:ind w:left="426"/>
        <w:jc w:val="both"/>
        <w:rPr>
          <w:rFonts w:ascii="Verdana" w:eastAsia="Times New Roman" w:hAnsi="Verdana" w:cs="Times New Roman"/>
          <w:color w:val="000000"/>
          <w:sz w:val="19"/>
          <w:szCs w:val="19"/>
          <w:lang w:eastAsia="ru-RU"/>
        </w:rPr>
      </w:pPr>
      <w:r w:rsidRPr="00A36BB8">
        <w:rPr>
          <w:rFonts w:ascii="Verdana" w:eastAsia="Times New Roman" w:hAnsi="Verdana" w:cs="Times New Roman"/>
          <w:color w:val="000000"/>
          <w:sz w:val="19"/>
          <w:szCs w:val="19"/>
          <w:lang w:eastAsia="ru-RU"/>
        </w:rPr>
        <w:t>учёта экономически труднооцениваемых факторов.</w:t>
      </w:r>
    </w:p>
    <w:p w:rsidR="00A36BB8" w:rsidRPr="00A36BB8" w:rsidRDefault="00D35B20" w:rsidP="009C4B6E">
      <w:pPr>
        <w:numPr>
          <w:ilvl w:val="0"/>
          <w:numId w:val="4"/>
        </w:numPr>
        <w:shd w:val="clear" w:color="auto" w:fill="FEFFFF"/>
        <w:spacing w:before="100" w:beforeAutospacing="1" w:after="100" w:afterAutospacing="1" w:line="240" w:lineRule="auto"/>
        <w:ind w:left="426"/>
        <w:jc w:val="both"/>
        <w:rPr>
          <w:rFonts w:ascii="Verdana" w:eastAsia="Times New Roman" w:hAnsi="Verdana" w:cs="Times New Roman"/>
          <w:b/>
          <w:bCs/>
          <w:color w:val="000000"/>
          <w:sz w:val="19"/>
          <w:szCs w:val="19"/>
          <w:lang w:eastAsia="ru-RU"/>
        </w:rPr>
      </w:pPr>
      <w:r>
        <w:rPr>
          <w:rFonts w:ascii="Verdana" w:eastAsia="Times New Roman" w:hAnsi="Verdana" w:cs="Times New Roman"/>
          <w:b/>
          <w:bCs/>
          <w:color w:val="000000"/>
          <w:sz w:val="19"/>
          <w:szCs w:val="19"/>
          <w:lang w:eastAsia="ru-RU"/>
        </w:rPr>
        <w:t>О</w:t>
      </w:r>
      <w:r w:rsidR="00A36BB8" w:rsidRPr="00A36BB8">
        <w:rPr>
          <w:rFonts w:ascii="Verdana" w:eastAsia="Times New Roman" w:hAnsi="Verdana" w:cs="Times New Roman"/>
          <w:b/>
          <w:bCs/>
          <w:color w:val="000000"/>
          <w:sz w:val="19"/>
          <w:szCs w:val="19"/>
          <w:lang w:eastAsia="ru-RU"/>
        </w:rPr>
        <w:t>ценки эффективности портфеля инвестиционных проектов</w:t>
      </w:r>
      <w:r w:rsidR="00330AD0">
        <w:rPr>
          <w:rFonts w:ascii="Verdana" w:eastAsia="Times New Roman" w:hAnsi="Verdana" w:cs="Times New Roman"/>
          <w:b/>
          <w:bCs/>
          <w:color w:val="000000"/>
          <w:sz w:val="19"/>
          <w:szCs w:val="19"/>
          <w:lang w:eastAsia="ru-RU"/>
        </w:rPr>
        <w:t xml:space="preserve"> (инвестиционных программ)</w:t>
      </w:r>
      <w:r w:rsidR="00A36BB8" w:rsidRPr="00A36BB8">
        <w:rPr>
          <w:rFonts w:ascii="Verdana" w:eastAsia="Times New Roman" w:hAnsi="Verdana" w:cs="Times New Roman"/>
          <w:b/>
          <w:bCs/>
          <w:color w:val="000000"/>
          <w:sz w:val="19"/>
          <w:szCs w:val="19"/>
          <w:lang w:eastAsia="ru-RU"/>
        </w:rPr>
        <w:t>:</w:t>
      </w:r>
    </w:p>
    <w:p w:rsidR="00A36BB8" w:rsidRPr="00A36BB8" w:rsidRDefault="00A36BB8" w:rsidP="009C4B6E">
      <w:pPr>
        <w:numPr>
          <w:ilvl w:val="0"/>
          <w:numId w:val="3"/>
        </w:numPr>
        <w:shd w:val="clear" w:color="auto" w:fill="FEFFFF"/>
        <w:spacing w:before="100" w:beforeAutospacing="1" w:after="100" w:afterAutospacing="1" w:line="240" w:lineRule="auto"/>
        <w:ind w:left="426"/>
        <w:jc w:val="both"/>
        <w:rPr>
          <w:rFonts w:ascii="Verdana" w:eastAsia="Times New Roman" w:hAnsi="Verdana" w:cs="Times New Roman"/>
          <w:color w:val="000000"/>
          <w:sz w:val="19"/>
          <w:szCs w:val="19"/>
          <w:lang w:eastAsia="ru-RU"/>
        </w:rPr>
      </w:pPr>
      <w:r w:rsidRPr="00A36BB8">
        <w:rPr>
          <w:rFonts w:ascii="Verdana" w:eastAsia="Times New Roman" w:hAnsi="Verdana" w:cs="Times New Roman"/>
          <w:color w:val="000000"/>
          <w:sz w:val="19"/>
          <w:szCs w:val="19"/>
          <w:lang w:eastAsia="ru-RU"/>
        </w:rPr>
        <w:t xml:space="preserve">разработка портфеля предложений инвестиционных проектов </w:t>
      </w:r>
      <w:r w:rsidR="009F1513">
        <w:rPr>
          <w:rFonts w:ascii="Verdana" w:eastAsia="Times New Roman" w:hAnsi="Verdana" w:cs="Times New Roman"/>
          <w:color w:val="000000"/>
          <w:sz w:val="19"/>
          <w:szCs w:val="19"/>
          <w:lang w:eastAsia="ru-RU"/>
        </w:rPr>
        <w:t>электро</w:t>
      </w:r>
      <w:r w:rsidRPr="00A36BB8">
        <w:rPr>
          <w:rFonts w:ascii="Verdana" w:eastAsia="Times New Roman" w:hAnsi="Verdana" w:cs="Times New Roman"/>
          <w:color w:val="000000"/>
          <w:sz w:val="19"/>
          <w:szCs w:val="19"/>
          <w:lang w:eastAsia="ru-RU"/>
        </w:rPr>
        <w:t>энергетических компаний и ранжирование их по критериям экономической эффективности;</w:t>
      </w:r>
    </w:p>
    <w:p w:rsidR="00A36BB8" w:rsidRPr="00A36BB8" w:rsidRDefault="00A36BB8" w:rsidP="009C4B6E">
      <w:pPr>
        <w:numPr>
          <w:ilvl w:val="0"/>
          <w:numId w:val="3"/>
        </w:numPr>
        <w:shd w:val="clear" w:color="auto" w:fill="FEFFFF"/>
        <w:spacing w:before="100" w:beforeAutospacing="1" w:after="100" w:afterAutospacing="1" w:line="240" w:lineRule="auto"/>
        <w:ind w:left="426"/>
        <w:jc w:val="both"/>
        <w:rPr>
          <w:rFonts w:ascii="Verdana" w:eastAsia="Times New Roman" w:hAnsi="Verdana" w:cs="Times New Roman"/>
          <w:color w:val="000000"/>
          <w:sz w:val="19"/>
          <w:szCs w:val="19"/>
          <w:lang w:eastAsia="ru-RU"/>
        </w:rPr>
      </w:pPr>
      <w:r w:rsidRPr="00A36BB8">
        <w:rPr>
          <w:rFonts w:ascii="Verdana" w:eastAsia="Times New Roman" w:hAnsi="Verdana" w:cs="Times New Roman"/>
          <w:color w:val="000000"/>
          <w:sz w:val="19"/>
          <w:szCs w:val="19"/>
          <w:lang w:eastAsia="ru-RU"/>
        </w:rPr>
        <w:t xml:space="preserve">интегральных показателей оценки эффективности инвестиционного портфеля, оценки интегральной эффективности производственно–технических программ развития и мероприятий </w:t>
      </w:r>
      <w:r w:rsidR="009F1513">
        <w:rPr>
          <w:rFonts w:ascii="Verdana" w:eastAsia="Times New Roman" w:hAnsi="Verdana" w:cs="Times New Roman"/>
          <w:color w:val="000000"/>
          <w:sz w:val="19"/>
          <w:szCs w:val="19"/>
          <w:lang w:eastAsia="ru-RU"/>
        </w:rPr>
        <w:t>электро</w:t>
      </w:r>
      <w:r w:rsidRPr="00A36BB8">
        <w:rPr>
          <w:rFonts w:ascii="Verdana" w:eastAsia="Times New Roman" w:hAnsi="Verdana" w:cs="Times New Roman"/>
          <w:color w:val="000000"/>
          <w:sz w:val="19"/>
          <w:szCs w:val="19"/>
          <w:lang w:eastAsia="ru-RU"/>
        </w:rPr>
        <w:t>энергетических компаний на основе построения финансовых потоков отдельных инвестиционных проектов;</w:t>
      </w:r>
    </w:p>
    <w:p w:rsidR="00686C16" w:rsidRDefault="00A36BB8" w:rsidP="009C4B6E">
      <w:pPr>
        <w:numPr>
          <w:ilvl w:val="0"/>
          <w:numId w:val="3"/>
        </w:numPr>
        <w:shd w:val="clear" w:color="auto" w:fill="FEFFFF"/>
        <w:spacing w:before="100" w:beforeAutospacing="1" w:after="100" w:afterAutospacing="1" w:line="240" w:lineRule="auto"/>
        <w:ind w:left="426"/>
        <w:jc w:val="both"/>
        <w:rPr>
          <w:rFonts w:ascii="Verdana" w:eastAsia="Times New Roman" w:hAnsi="Verdana" w:cs="Times New Roman"/>
          <w:color w:val="000000"/>
          <w:sz w:val="19"/>
          <w:szCs w:val="19"/>
          <w:lang w:eastAsia="ru-RU"/>
        </w:rPr>
      </w:pPr>
      <w:r w:rsidRPr="00A36BB8">
        <w:rPr>
          <w:rFonts w:ascii="Verdana" w:eastAsia="Times New Roman" w:hAnsi="Verdana" w:cs="Times New Roman"/>
          <w:color w:val="000000"/>
          <w:sz w:val="19"/>
          <w:szCs w:val="19"/>
          <w:lang w:eastAsia="ru-RU"/>
        </w:rPr>
        <w:t>рационирование капитала (отбор инвестиционных проектов программ развития и мероприятий исходя из ограничений в финансовых ресурсах компаний).</w:t>
      </w:r>
    </w:p>
    <w:p w:rsidR="00A36BB8" w:rsidRPr="00A36BB8" w:rsidRDefault="00624B48" w:rsidP="009C4B6E">
      <w:pPr>
        <w:numPr>
          <w:ilvl w:val="0"/>
          <w:numId w:val="4"/>
        </w:numPr>
        <w:shd w:val="clear" w:color="auto" w:fill="FEFFFF"/>
        <w:spacing w:before="100" w:beforeAutospacing="1" w:after="100" w:afterAutospacing="1" w:line="240" w:lineRule="auto"/>
        <w:ind w:left="426"/>
        <w:jc w:val="both"/>
        <w:rPr>
          <w:rFonts w:ascii="Verdana" w:eastAsia="Times New Roman" w:hAnsi="Verdana" w:cs="Times New Roman"/>
          <w:b/>
          <w:bCs/>
          <w:color w:val="000000"/>
          <w:sz w:val="19"/>
          <w:szCs w:val="19"/>
          <w:lang w:eastAsia="ru-RU"/>
        </w:rPr>
      </w:pPr>
      <w:r>
        <w:rPr>
          <w:rFonts w:ascii="Verdana" w:eastAsia="Times New Roman" w:hAnsi="Verdana" w:cs="Times New Roman"/>
          <w:b/>
          <w:bCs/>
          <w:color w:val="000000"/>
          <w:sz w:val="19"/>
          <w:szCs w:val="19"/>
          <w:lang w:eastAsia="ru-RU"/>
        </w:rPr>
        <w:t>О</w:t>
      </w:r>
      <w:r w:rsidR="00A36BB8" w:rsidRPr="00A36BB8">
        <w:rPr>
          <w:rFonts w:ascii="Verdana" w:eastAsia="Times New Roman" w:hAnsi="Verdana" w:cs="Times New Roman"/>
          <w:b/>
          <w:bCs/>
          <w:color w:val="000000"/>
          <w:sz w:val="19"/>
          <w:szCs w:val="19"/>
          <w:lang w:eastAsia="ru-RU"/>
        </w:rPr>
        <w:t>ценки финансовой устойчивости и финансового состояния компаний:</w:t>
      </w:r>
    </w:p>
    <w:p w:rsidR="00A36BB8" w:rsidRPr="00A36BB8" w:rsidRDefault="00A36BB8" w:rsidP="009C4B6E">
      <w:pPr>
        <w:numPr>
          <w:ilvl w:val="0"/>
          <w:numId w:val="3"/>
        </w:numPr>
        <w:shd w:val="clear" w:color="auto" w:fill="FEFFFF"/>
        <w:spacing w:before="100" w:beforeAutospacing="1" w:after="100" w:afterAutospacing="1" w:line="240" w:lineRule="auto"/>
        <w:ind w:left="426"/>
        <w:jc w:val="both"/>
        <w:rPr>
          <w:rFonts w:ascii="Verdana" w:eastAsia="Times New Roman" w:hAnsi="Verdana" w:cs="Times New Roman"/>
          <w:color w:val="000000"/>
          <w:sz w:val="19"/>
          <w:szCs w:val="19"/>
          <w:lang w:eastAsia="ru-RU"/>
        </w:rPr>
      </w:pPr>
      <w:r w:rsidRPr="00A36BB8">
        <w:rPr>
          <w:rFonts w:ascii="Verdana" w:eastAsia="Times New Roman" w:hAnsi="Verdana" w:cs="Times New Roman"/>
          <w:color w:val="000000"/>
          <w:sz w:val="19"/>
          <w:szCs w:val="19"/>
          <w:lang w:eastAsia="ru-RU"/>
        </w:rPr>
        <w:t>оценки устойчивости и финансового состояния компаний, определение прогнозных показателей по совокупности производственно–технических программ и мероприятий, планируемых к реализации на долгосрочную перспективу;</w:t>
      </w:r>
    </w:p>
    <w:p w:rsidR="00A36BB8" w:rsidRPr="00A36BB8" w:rsidRDefault="00A36BB8" w:rsidP="009C4B6E">
      <w:pPr>
        <w:numPr>
          <w:ilvl w:val="0"/>
          <w:numId w:val="3"/>
        </w:numPr>
        <w:shd w:val="clear" w:color="auto" w:fill="FEFFFF"/>
        <w:spacing w:before="100" w:beforeAutospacing="1" w:after="100" w:afterAutospacing="1" w:line="240" w:lineRule="auto"/>
        <w:ind w:left="426"/>
        <w:jc w:val="both"/>
        <w:rPr>
          <w:rFonts w:ascii="Verdana" w:eastAsia="Times New Roman" w:hAnsi="Verdana" w:cs="Times New Roman"/>
          <w:color w:val="000000"/>
          <w:sz w:val="19"/>
          <w:szCs w:val="19"/>
          <w:lang w:eastAsia="ru-RU"/>
        </w:rPr>
      </w:pPr>
      <w:r w:rsidRPr="00A36BB8">
        <w:rPr>
          <w:rFonts w:ascii="Verdana" w:eastAsia="Times New Roman" w:hAnsi="Verdana" w:cs="Times New Roman"/>
          <w:color w:val="000000"/>
          <w:sz w:val="19"/>
          <w:szCs w:val="19"/>
          <w:lang w:eastAsia="ru-RU"/>
        </w:rPr>
        <w:lastRenderedPageBreak/>
        <w:t xml:space="preserve">оценки эффективности действующих активов и программ развития мероприятий </w:t>
      </w:r>
      <w:r w:rsidR="009F1513">
        <w:rPr>
          <w:rFonts w:ascii="Verdana" w:eastAsia="Times New Roman" w:hAnsi="Verdana" w:cs="Times New Roman"/>
          <w:color w:val="000000"/>
          <w:sz w:val="19"/>
          <w:szCs w:val="19"/>
          <w:lang w:eastAsia="ru-RU"/>
        </w:rPr>
        <w:t>электро</w:t>
      </w:r>
      <w:r w:rsidRPr="00A36BB8">
        <w:rPr>
          <w:rFonts w:ascii="Verdana" w:eastAsia="Times New Roman" w:hAnsi="Verdana" w:cs="Times New Roman"/>
          <w:color w:val="000000"/>
          <w:sz w:val="19"/>
          <w:szCs w:val="19"/>
          <w:lang w:eastAsia="ru-RU"/>
        </w:rPr>
        <w:t>энергетических компаний в целом.</w:t>
      </w:r>
    </w:p>
    <w:p w:rsidR="00A36BB8" w:rsidRDefault="00CC3030" w:rsidP="009C4B6E">
      <w:pPr>
        <w:shd w:val="clear" w:color="auto" w:fill="FEFFFF"/>
        <w:spacing w:before="100" w:beforeAutospacing="1" w:after="100" w:afterAutospacing="1" w:line="240" w:lineRule="auto"/>
        <w:jc w:val="both"/>
        <w:rPr>
          <w:rFonts w:ascii="Verdana" w:eastAsia="Times New Roman" w:hAnsi="Verdana" w:cs="Times New Roman"/>
          <w:color w:val="000000"/>
          <w:sz w:val="19"/>
          <w:szCs w:val="19"/>
          <w:lang w:eastAsia="ru-RU"/>
        </w:rPr>
      </w:pPr>
      <w:r>
        <w:rPr>
          <w:rFonts w:ascii="Verdana" w:eastAsia="Times New Roman" w:hAnsi="Verdana" w:cs="Times New Roman"/>
          <w:color w:val="000000"/>
          <w:sz w:val="19"/>
          <w:szCs w:val="19"/>
          <w:lang w:eastAsia="ru-RU"/>
        </w:rPr>
        <w:t xml:space="preserve">Подразделение </w:t>
      </w:r>
      <w:r w:rsidR="00BF139B" w:rsidRPr="00A36BB8">
        <w:rPr>
          <w:rFonts w:ascii="Verdana" w:eastAsia="Times New Roman" w:hAnsi="Verdana" w:cs="Times New Roman"/>
          <w:color w:val="000000"/>
          <w:sz w:val="19"/>
          <w:szCs w:val="19"/>
          <w:lang w:eastAsia="ru-RU"/>
        </w:rPr>
        <w:t>«</w:t>
      </w:r>
      <w:r w:rsidR="00BF139B">
        <w:rPr>
          <w:rFonts w:ascii="Verdana" w:eastAsia="Times New Roman" w:hAnsi="Verdana" w:cs="Times New Roman"/>
          <w:color w:val="000000"/>
          <w:sz w:val="19"/>
          <w:szCs w:val="19"/>
          <w:lang w:eastAsia="ru-RU"/>
        </w:rPr>
        <w:t xml:space="preserve">Оценки </w:t>
      </w:r>
      <w:r>
        <w:rPr>
          <w:rFonts w:ascii="Verdana" w:eastAsia="Times New Roman" w:hAnsi="Verdana" w:cs="Times New Roman"/>
          <w:color w:val="000000"/>
          <w:sz w:val="19"/>
          <w:szCs w:val="19"/>
          <w:lang w:eastAsia="ru-RU"/>
        </w:rPr>
        <w:t xml:space="preserve">экономической </w:t>
      </w:r>
      <w:r w:rsidR="00BF139B">
        <w:rPr>
          <w:rFonts w:ascii="Verdana" w:eastAsia="Times New Roman" w:hAnsi="Verdana" w:cs="Times New Roman"/>
          <w:color w:val="000000"/>
          <w:sz w:val="19"/>
          <w:szCs w:val="19"/>
          <w:lang w:eastAsia="ru-RU"/>
        </w:rPr>
        <w:t>э</w:t>
      </w:r>
      <w:r w:rsidR="00BF139B" w:rsidRPr="00A36BB8">
        <w:rPr>
          <w:rFonts w:ascii="Verdana" w:eastAsia="Times New Roman" w:hAnsi="Verdana" w:cs="Times New Roman"/>
          <w:color w:val="000000"/>
          <w:sz w:val="19"/>
          <w:szCs w:val="19"/>
          <w:lang w:eastAsia="ru-RU"/>
        </w:rPr>
        <w:t>ффективности»</w:t>
      </w:r>
      <w:r w:rsidR="00BF139B">
        <w:rPr>
          <w:rFonts w:ascii="Verdana" w:eastAsia="Times New Roman" w:hAnsi="Verdana" w:cs="Times New Roman"/>
          <w:color w:val="000000"/>
          <w:sz w:val="19"/>
          <w:szCs w:val="19"/>
          <w:lang w:eastAsia="ru-RU"/>
        </w:rPr>
        <w:t xml:space="preserve"> </w:t>
      </w:r>
      <w:r w:rsidR="00A36BB8">
        <w:rPr>
          <w:rFonts w:ascii="Verdana" w:eastAsia="Times New Roman" w:hAnsi="Verdana" w:cs="Times New Roman"/>
          <w:color w:val="000000"/>
          <w:sz w:val="19"/>
          <w:szCs w:val="19"/>
          <w:lang w:eastAsia="ru-RU"/>
        </w:rPr>
        <w:t>выполнила</w:t>
      </w:r>
      <w:r w:rsidR="00FB7DFE">
        <w:rPr>
          <w:rFonts w:ascii="Verdana" w:eastAsia="Times New Roman" w:hAnsi="Verdana" w:cs="Times New Roman"/>
          <w:color w:val="000000"/>
          <w:sz w:val="19"/>
          <w:szCs w:val="19"/>
          <w:lang w:eastAsia="ru-RU"/>
        </w:rPr>
        <w:t xml:space="preserve"> услуги по</w:t>
      </w:r>
      <w:r w:rsidR="00A36BB8">
        <w:rPr>
          <w:rFonts w:ascii="Verdana" w:eastAsia="Times New Roman" w:hAnsi="Verdana" w:cs="Times New Roman"/>
          <w:color w:val="000000"/>
          <w:sz w:val="19"/>
          <w:szCs w:val="19"/>
          <w:lang w:eastAsia="ru-RU"/>
        </w:rPr>
        <w:t xml:space="preserve"> оценк</w:t>
      </w:r>
      <w:r w:rsidR="00FB7DFE">
        <w:rPr>
          <w:rFonts w:ascii="Verdana" w:eastAsia="Times New Roman" w:hAnsi="Verdana" w:cs="Times New Roman"/>
          <w:color w:val="000000"/>
          <w:sz w:val="19"/>
          <w:szCs w:val="19"/>
          <w:lang w:eastAsia="ru-RU"/>
        </w:rPr>
        <w:t>е</w:t>
      </w:r>
      <w:r w:rsidR="00A36BB8">
        <w:rPr>
          <w:rFonts w:ascii="Verdana" w:eastAsia="Times New Roman" w:hAnsi="Verdana" w:cs="Times New Roman"/>
          <w:color w:val="000000"/>
          <w:sz w:val="19"/>
          <w:szCs w:val="19"/>
          <w:lang w:eastAsia="ru-RU"/>
        </w:rPr>
        <w:t xml:space="preserve"> </w:t>
      </w:r>
      <w:r w:rsidR="00FB7DFE">
        <w:rPr>
          <w:rFonts w:ascii="Verdana" w:eastAsia="Times New Roman" w:hAnsi="Verdana" w:cs="Times New Roman"/>
          <w:color w:val="000000"/>
          <w:sz w:val="19"/>
          <w:szCs w:val="19"/>
          <w:lang w:eastAsia="ru-RU"/>
        </w:rPr>
        <w:t xml:space="preserve">экономической </w:t>
      </w:r>
      <w:r w:rsidR="00A36BB8">
        <w:rPr>
          <w:rFonts w:ascii="Verdana" w:eastAsia="Times New Roman" w:hAnsi="Verdana" w:cs="Times New Roman"/>
          <w:color w:val="000000"/>
          <w:sz w:val="19"/>
          <w:szCs w:val="19"/>
          <w:lang w:eastAsia="ru-RU"/>
        </w:rPr>
        <w:t>эффективности и провела экспертизу огромного числа инвестиционных проектов и инвестиционных программ</w:t>
      </w:r>
      <w:r w:rsidR="00BF139B">
        <w:rPr>
          <w:rFonts w:ascii="Verdana" w:eastAsia="Times New Roman" w:hAnsi="Verdana" w:cs="Times New Roman"/>
          <w:color w:val="000000"/>
          <w:sz w:val="19"/>
          <w:szCs w:val="19"/>
          <w:lang w:eastAsia="ru-RU"/>
        </w:rPr>
        <w:t>, в числе которых:</w:t>
      </w:r>
    </w:p>
    <w:p w:rsidR="00BF139B" w:rsidRDefault="00BF139B" w:rsidP="009C4B6E">
      <w:pPr>
        <w:numPr>
          <w:ilvl w:val="0"/>
          <w:numId w:val="1"/>
        </w:numPr>
        <w:shd w:val="clear" w:color="auto" w:fill="FEFFFF"/>
        <w:tabs>
          <w:tab w:val="clear" w:pos="720"/>
          <w:tab w:val="num" w:pos="426"/>
        </w:tabs>
        <w:spacing w:before="100" w:beforeAutospacing="1" w:after="100" w:afterAutospacing="1" w:line="240" w:lineRule="auto"/>
        <w:ind w:left="426"/>
        <w:jc w:val="both"/>
        <w:rPr>
          <w:rFonts w:ascii="Verdana" w:eastAsia="Times New Roman" w:hAnsi="Verdana" w:cs="Times New Roman"/>
          <w:color w:val="000000"/>
          <w:sz w:val="19"/>
          <w:szCs w:val="19"/>
          <w:lang w:eastAsia="ru-RU"/>
        </w:rPr>
      </w:pPr>
      <w:r w:rsidRPr="00577530">
        <w:rPr>
          <w:rFonts w:ascii="Verdana" w:eastAsia="Times New Roman" w:hAnsi="Verdana" w:cs="Times New Roman"/>
          <w:color w:val="000000"/>
          <w:sz w:val="19"/>
          <w:szCs w:val="19"/>
          <w:lang w:eastAsia="ru-RU"/>
        </w:rPr>
        <w:t>Зеленчукская ГЭС (оценка финансово–коммерческой эффективности проекта достройки гидроагрегата №2).</w:t>
      </w:r>
    </w:p>
    <w:p w:rsidR="00BF139B" w:rsidRDefault="00BF139B" w:rsidP="009C4B6E">
      <w:pPr>
        <w:numPr>
          <w:ilvl w:val="0"/>
          <w:numId w:val="1"/>
        </w:numPr>
        <w:shd w:val="clear" w:color="auto" w:fill="FEFFFF"/>
        <w:tabs>
          <w:tab w:val="clear" w:pos="720"/>
          <w:tab w:val="num" w:pos="426"/>
        </w:tabs>
        <w:spacing w:before="100" w:beforeAutospacing="1" w:after="100" w:afterAutospacing="1" w:line="240" w:lineRule="auto"/>
        <w:ind w:left="426"/>
        <w:jc w:val="both"/>
        <w:rPr>
          <w:rFonts w:ascii="Verdana" w:eastAsia="Times New Roman" w:hAnsi="Verdana" w:cs="Times New Roman"/>
          <w:color w:val="000000"/>
          <w:sz w:val="19"/>
          <w:szCs w:val="19"/>
          <w:lang w:eastAsia="ru-RU"/>
        </w:rPr>
      </w:pPr>
      <w:r w:rsidRPr="00577530">
        <w:rPr>
          <w:rFonts w:ascii="Verdana" w:eastAsia="Times New Roman" w:hAnsi="Verdana" w:cs="Times New Roman"/>
          <w:color w:val="000000"/>
          <w:sz w:val="19"/>
          <w:szCs w:val="19"/>
          <w:lang w:eastAsia="ru-RU"/>
        </w:rPr>
        <w:t>ОАО «</w:t>
      </w:r>
      <w:proofErr w:type="spellStart"/>
      <w:r w:rsidRPr="00577530">
        <w:rPr>
          <w:rFonts w:ascii="Verdana" w:eastAsia="Times New Roman" w:hAnsi="Verdana" w:cs="Times New Roman"/>
          <w:color w:val="000000"/>
          <w:sz w:val="19"/>
          <w:szCs w:val="19"/>
          <w:lang w:eastAsia="ru-RU"/>
        </w:rPr>
        <w:t>Южноуральская</w:t>
      </w:r>
      <w:proofErr w:type="spellEnd"/>
      <w:r w:rsidRPr="00577530">
        <w:rPr>
          <w:rFonts w:ascii="Verdana" w:eastAsia="Times New Roman" w:hAnsi="Verdana" w:cs="Times New Roman"/>
          <w:color w:val="000000"/>
          <w:sz w:val="19"/>
          <w:szCs w:val="19"/>
          <w:lang w:eastAsia="ru-RU"/>
        </w:rPr>
        <w:t xml:space="preserve"> ГРЭС» (возможности внедрения парогазовых технологий).</w:t>
      </w:r>
    </w:p>
    <w:p w:rsidR="00677AF2" w:rsidRPr="00677AF2" w:rsidRDefault="00677AF2" w:rsidP="009C4B6E">
      <w:pPr>
        <w:numPr>
          <w:ilvl w:val="0"/>
          <w:numId w:val="1"/>
        </w:numPr>
        <w:shd w:val="clear" w:color="auto" w:fill="FEFFFF"/>
        <w:tabs>
          <w:tab w:val="clear" w:pos="720"/>
          <w:tab w:val="num" w:pos="426"/>
        </w:tabs>
        <w:spacing w:before="100" w:beforeAutospacing="1" w:after="100" w:afterAutospacing="1" w:line="240" w:lineRule="auto"/>
        <w:ind w:left="426"/>
        <w:jc w:val="both"/>
        <w:rPr>
          <w:rFonts w:ascii="Verdana" w:eastAsia="Times New Roman" w:hAnsi="Verdana" w:cs="Times New Roman"/>
          <w:color w:val="000000"/>
          <w:sz w:val="19"/>
          <w:szCs w:val="19"/>
          <w:lang w:eastAsia="ru-RU"/>
        </w:rPr>
      </w:pPr>
      <w:r w:rsidRPr="00577530">
        <w:rPr>
          <w:rFonts w:ascii="Verdana" w:eastAsia="Times New Roman" w:hAnsi="Verdana" w:cs="Times New Roman"/>
          <w:color w:val="000000"/>
          <w:sz w:val="19"/>
          <w:szCs w:val="19"/>
          <w:lang w:eastAsia="ru-RU"/>
        </w:rPr>
        <w:t xml:space="preserve">Исследование инвестиционных возможностей внедрения парогазовых технологий на </w:t>
      </w:r>
      <w:proofErr w:type="spellStart"/>
      <w:r w:rsidRPr="00577530">
        <w:rPr>
          <w:rFonts w:ascii="Verdana" w:eastAsia="Times New Roman" w:hAnsi="Verdana" w:cs="Times New Roman"/>
          <w:color w:val="000000"/>
          <w:sz w:val="19"/>
          <w:szCs w:val="19"/>
          <w:lang w:eastAsia="ru-RU"/>
        </w:rPr>
        <w:t>неблочной</w:t>
      </w:r>
      <w:proofErr w:type="spellEnd"/>
      <w:r w:rsidRPr="00577530">
        <w:rPr>
          <w:rFonts w:ascii="Verdana" w:eastAsia="Times New Roman" w:hAnsi="Verdana" w:cs="Times New Roman"/>
          <w:color w:val="000000"/>
          <w:sz w:val="19"/>
          <w:szCs w:val="19"/>
          <w:lang w:eastAsia="ru-RU"/>
        </w:rPr>
        <w:t xml:space="preserve"> части Невинномысской ГРЭС.</w:t>
      </w:r>
    </w:p>
    <w:p w:rsidR="00BF139B" w:rsidRPr="00CF0699" w:rsidRDefault="00BF139B" w:rsidP="009C4B6E">
      <w:pPr>
        <w:numPr>
          <w:ilvl w:val="0"/>
          <w:numId w:val="1"/>
        </w:numPr>
        <w:shd w:val="clear" w:color="auto" w:fill="FEFFFF"/>
        <w:tabs>
          <w:tab w:val="clear" w:pos="720"/>
          <w:tab w:val="num" w:pos="426"/>
        </w:tabs>
        <w:spacing w:before="100" w:beforeAutospacing="1" w:after="100" w:afterAutospacing="1" w:line="240" w:lineRule="auto"/>
        <w:ind w:left="426"/>
        <w:jc w:val="both"/>
        <w:rPr>
          <w:rFonts w:ascii="Verdana" w:eastAsia="Times New Roman" w:hAnsi="Verdana" w:cs="Times New Roman"/>
          <w:color w:val="000000"/>
          <w:sz w:val="19"/>
          <w:szCs w:val="19"/>
          <w:lang w:eastAsia="ru-RU"/>
        </w:rPr>
      </w:pPr>
      <w:r w:rsidRPr="00577530">
        <w:rPr>
          <w:rFonts w:ascii="Verdana" w:eastAsia="Times New Roman" w:hAnsi="Verdana" w:cs="Times New Roman"/>
          <w:color w:val="000000"/>
          <w:sz w:val="19"/>
          <w:szCs w:val="19"/>
          <w:lang w:eastAsia="ru-RU"/>
        </w:rPr>
        <w:t>Формирование пакета инвестиционных предложений АО МОСЭНЕРГО</w:t>
      </w:r>
      <w:r w:rsidRPr="00CF0699">
        <w:rPr>
          <w:rFonts w:ascii="Verdana" w:eastAsia="Times New Roman" w:hAnsi="Verdana" w:cs="Times New Roman"/>
          <w:color w:val="000000"/>
          <w:sz w:val="19"/>
          <w:szCs w:val="19"/>
          <w:lang w:eastAsia="ru-RU"/>
        </w:rPr>
        <w:t>.</w:t>
      </w:r>
    </w:p>
    <w:p w:rsidR="00690FF1" w:rsidRPr="00CF0699" w:rsidRDefault="00690FF1" w:rsidP="009C4B6E">
      <w:pPr>
        <w:numPr>
          <w:ilvl w:val="0"/>
          <w:numId w:val="1"/>
        </w:numPr>
        <w:shd w:val="clear" w:color="auto" w:fill="FEFFFF"/>
        <w:tabs>
          <w:tab w:val="clear" w:pos="720"/>
          <w:tab w:val="num" w:pos="426"/>
        </w:tabs>
        <w:spacing w:before="100" w:beforeAutospacing="1" w:after="100" w:afterAutospacing="1" w:line="240" w:lineRule="auto"/>
        <w:ind w:left="426"/>
        <w:jc w:val="both"/>
        <w:rPr>
          <w:rFonts w:ascii="Verdana" w:eastAsia="Times New Roman" w:hAnsi="Verdana" w:cs="Times New Roman"/>
          <w:color w:val="000000"/>
          <w:sz w:val="19"/>
          <w:szCs w:val="19"/>
          <w:lang w:eastAsia="ru-RU"/>
        </w:rPr>
      </w:pPr>
      <w:r w:rsidRPr="00CF0699">
        <w:rPr>
          <w:rFonts w:ascii="Verdana" w:eastAsia="Times New Roman" w:hAnsi="Verdana" w:cs="Times New Roman"/>
          <w:color w:val="000000"/>
          <w:sz w:val="19"/>
          <w:szCs w:val="19"/>
          <w:lang w:eastAsia="ru-RU"/>
        </w:rPr>
        <w:t xml:space="preserve">Экспертиза пилотного проекта модернизации системы теплоснабжения </w:t>
      </w:r>
      <w:proofErr w:type="gramStart"/>
      <w:r w:rsidRPr="00CF0699">
        <w:rPr>
          <w:rFonts w:ascii="Verdana" w:eastAsia="Times New Roman" w:hAnsi="Verdana" w:cs="Times New Roman"/>
          <w:color w:val="000000"/>
          <w:sz w:val="19"/>
          <w:szCs w:val="19"/>
          <w:lang w:eastAsia="ru-RU"/>
        </w:rPr>
        <w:t>г</w:t>
      </w:r>
      <w:proofErr w:type="gramEnd"/>
      <w:r w:rsidRPr="00CF0699">
        <w:rPr>
          <w:rFonts w:ascii="Verdana" w:eastAsia="Times New Roman" w:hAnsi="Verdana" w:cs="Times New Roman"/>
          <w:color w:val="000000"/>
          <w:sz w:val="19"/>
          <w:szCs w:val="19"/>
          <w:lang w:eastAsia="ru-RU"/>
        </w:rPr>
        <w:t xml:space="preserve">. Челябинска. Этап № 2. «Экспертиза оценки социально-экономических последствий реализации пилотного проекта модернизации системы централизованного теплоснабжения </w:t>
      </w:r>
      <w:proofErr w:type="gramStart"/>
      <w:r w:rsidRPr="00CF0699">
        <w:rPr>
          <w:rFonts w:ascii="Verdana" w:eastAsia="Times New Roman" w:hAnsi="Verdana" w:cs="Times New Roman"/>
          <w:color w:val="000000"/>
          <w:sz w:val="19"/>
          <w:szCs w:val="19"/>
          <w:lang w:eastAsia="ru-RU"/>
        </w:rPr>
        <w:t>г</w:t>
      </w:r>
      <w:proofErr w:type="gramEnd"/>
      <w:r w:rsidRPr="00CF0699">
        <w:rPr>
          <w:rFonts w:ascii="Verdana" w:eastAsia="Times New Roman" w:hAnsi="Verdana" w:cs="Times New Roman"/>
          <w:color w:val="000000"/>
          <w:sz w:val="19"/>
          <w:szCs w:val="19"/>
          <w:lang w:eastAsia="ru-RU"/>
        </w:rPr>
        <w:t>. Челябинска»</w:t>
      </w:r>
      <w:r>
        <w:rPr>
          <w:rFonts w:ascii="Verdana" w:eastAsia="Times New Roman" w:hAnsi="Verdana" w:cs="Times New Roman"/>
          <w:color w:val="000000"/>
          <w:sz w:val="19"/>
          <w:szCs w:val="19"/>
          <w:lang w:eastAsia="ru-RU"/>
        </w:rPr>
        <w:t>.</w:t>
      </w:r>
    </w:p>
    <w:p w:rsidR="00690FF1" w:rsidRDefault="00690FF1" w:rsidP="009C4B6E">
      <w:pPr>
        <w:numPr>
          <w:ilvl w:val="0"/>
          <w:numId w:val="1"/>
        </w:numPr>
        <w:shd w:val="clear" w:color="auto" w:fill="FEFFFF"/>
        <w:tabs>
          <w:tab w:val="clear" w:pos="720"/>
          <w:tab w:val="num" w:pos="426"/>
        </w:tabs>
        <w:spacing w:before="100" w:beforeAutospacing="1" w:after="100" w:afterAutospacing="1" w:line="240" w:lineRule="auto"/>
        <w:ind w:left="426"/>
        <w:jc w:val="both"/>
        <w:rPr>
          <w:rFonts w:ascii="Verdana" w:eastAsia="Times New Roman" w:hAnsi="Verdana" w:cs="Times New Roman"/>
          <w:color w:val="000000"/>
          <w:sz w:val="19"/>
          <w:szCs w:val="19"/>
          <w:lang w:eastAsia="ru-RU"/>
        </w:rPr>
      </w:pPr>
      <w:r w:rsidRPr="00CF0699">
        <w:rPr>
          <w:rFonts w:ascii="Verdana" w:eastAsia="Times New Roman" w:hAnsi="Verdana" w:cs="Times New Roman"/>
          <w:color w:val="000000"/>
          <w:sz w:val="19"/>
          <w:szCs w:val="19"/>
          <w:lang w:eastAsia="ru-RU"/>
        </w:rPr>
        <w:t>«Разработка, монтаж и испытание экспериментальной системы импульсного пневмотранспорта угля. Объект исследования: Каширская ГРЭС».</w:t>
      </w:r>
    </w:p>
    <w:p w:rsidR="00690FF1" w:rsidRDefault="00690FF1" w:rsidP="009C4B6E">
      <w:pPr>
        <w:numPr>
          <w:ilvl w:val="0"/>
          <w:numId w:val="1"/>
        </w:numPr>
        <w:shd w:val="clear" w:color="auto" w:fill="FEFFFF"/>
        <w:tabs>
          <w:tab w:val="clear" w:pos="720"/>
          <w:tab w:val="num" w:pos="426"/>
        </w:tabs>
        <w:spacing w:before="100" w:beforeAutospacing="1" w:after="100" w:afterAutospacing="1" w:line="240" w:lineRule="auto"/>
        <w:ind w:left="426"/>
        <w:jc w:val="both"/>
        <w:rPr>
          <w:rFonts w:ascii="Verdana" w:eastAsia="Times New Roman" w:hAnsi="Verdana" w:cs="Times New Roman"/>
          <w:color w:val="000000"/>
          <w:sz w:val="19"/>
          <w:szCs w:val="19"/>
          <w:lang w:eastAsia="ru-RU"/>
        </w:rPr>
      </w:pPr>
      <w:r w:rsidRPr="00C7036B">
        <w:rPr>
          <w:rFonts w:ascii="Verdana" w:eastAsia="Times New Roman" w:hAnsi="Verdana" w:cs="Times New Roman"/>
          <w:color w:val="000000"/>
          <w:sz w:val="19"/>
          <w:szCs w:val="19"/>
          <w:lang w:eastAsia="ru-RU"/>
        </w:rPr>
        <w:t>Оценка финансово-коммерческой эффективности инвестиционного проекта реконструкции котла блока № 7 Кумертауской ТЭЦ ООО «Башкирская генерирующая компания»</w:t>
      </w:r>
      <w:r>
        <w:rPr>
          <w:rFonts w:ascii="Verdana" w:eastAsia="Times New Roman" w:hAnsi="Verdana" w:cs="Times New Roman"/>
          <w:color w:val="000000"/>
          <w:sz w:val="19"/>
          <w:szCs w:val="19"/>
          <w:lang w:eastAsia="ru-RU"/>
        </w:rPr>
        <w:t>.</w:t>
      </w:r>
    </w:p>
    <w:p w:rsidR="00690FF1" w:rsidRDefault="00690FF1" w:rsidP="009C4B6E">
      <w:pPr>
        <w:numPr>
          <w:ilvl w:val="0"/>
          <w:numId w:val="1"/>
        </w:numPr>
        <w:shd w:val="clear" w:color="auto" w:fill="FEFFFF"/>
        <w:tabs>
          <w:tab w:val="clear" w:pos="720"/>
          <w:tab w:val="num" w:pos="426"/>
        </w:tabs>
        <w:spacing w:before="100" w:beforeAutospacing="1" w:after="100" w:afterAutospacing="1" w:line="240" w:lineRule="auto"/>
        <w:ind w:left="426"/>
        <w:jc w:val="both"/>
        <w:rPr>
          <w:rFonts w:ascii="Verdana" w:eastAsia="Times New Roman" w:hAnsi="Verdana" w:cs="Times New Roman"/>
          <w:color w:val="000000"/>
          <w:sz w:val="19"/>
          <w:szCs w:val="19"/>
          <w:lang w:eastAsia="ru-RU"/>
        </w:rPr>
      </w:pPr>
      <w:r w:rsidRPr="00C7036B">
        <w:rPr>
          <w:rFonts w:ascii="Verdana" w:eastAsia="Times New Roman" w:hAnsi="Verdana" w:cs="Times New Roman"/>
          <w:color w:val="000000"/>
          <w:sz w:val="19"/>
          <w:szCs w:val="19"/>
          <w:lang w:eastAsia="ru-RU"/>
        </w:rPr>
        <w:t>Сравнительная оценка финансово-коммерческой эффективности инвестиционного проекта переработки горючего сланца на УТТ-500 до и после модернизации технологии</w:t>
      </w:r>
      <w:r>
        <w:rPr>
          <w:rFonts w:ascii="Verdana" w:eastAsia="Times New Roman" w:hAnsi="Verdana" w:cs="Times New Roman"/>
          <w:color w:val="000000"/>
          <w:sz w:val="19"/>
          <w:szCs w:val="19"/>
          <w:lang w:eastAsia="ru-RU"/>
        </w:rPr>
        <w:t>.</w:t>
      </w:r>
    </w:p>
    <w:p w:rsidR="00690FF1" w:rsidRDefault="00690FF1" w:rsidP="009C4B6E">
      <w:pPr>
        <w:numPr>
          <w:ilvl w:val="0"/>
          <w:numId w:val="1"/>
        </w:numPr>
        <w:shd w:val="clear" w:color="auto" w:fill="FEFFFF"/>
        <w:tabs>
          <w:tab w:val="clear" w:pos="720"/>
          <w:tab w:val="num" w:pos="426"/>
        </w:tabs>
        <w:spacing w:before="100" w:beforeAutospacing="1" w:after="100" w:afterAutospacing="1" w:line="240" w:lineRule="auto"/>
        <w:ind w:left="426"/>
        <w:jc w:val="both"/>
        <w:rPr>
          <w:rFonts w:ascii="Verdana" w:eastAsia="Times New Roman" w:hAnsi="Verdana" w:cs="Times New Roman"/>
          <w:color w:val="000000"/>
          <w:sz w:val="19"/>
          <w:szCs w:val="19"/>
          <w:lang w:eastAsia="ru-RU"/>
        </w:rPr>
      </w:pPr>
      <w:r w:rsidRPr="00CF0699">
        <w:rPr>
          <w:rFonts w:ascii="Verdana" w:eastAsia="Times New Roman" w:hAnsi="Verdana" w:cs="Times New Roman"/>
          <w:color w:val="000000"/>
          <w:sz w:val="19"/>
          <w:szCs w:val="19"/>
          <w:lang w:eastAsia="ru-RU"/>
        </w:rPr>
        <w:t>Оценка финансово-коммерческой эффективности инвестиционных проектов переработки (утилизации) медицинских отходов на УТТ-50 и др.</w:t>
      </w:r>
    </w:p>
    <w:p w:rsidR="00810F9C" w:rsidRPr="00577530" w:rsidRDefault="00810F9C" w:rsidP="009C4B6E">
      <w:pPr>
        <w:shd w:val="clear" w:color="auto" w:fill="FEFFFF"/>
        <w:spacing w:after="0" w:line="240" w:lineRule="auto"/>
        <w:jc w:val="both"/>
        <w:rPr>
          <w:rFonts w:ascii="Verdana" w:eastAsia="Times New Roman" w:hAnsi="Verdana" w:cs="Times New Roman"/>
          <w:color w:val="000000"/>
          <w:sz w:val="19"/>
          <w:szCs w:val="19"/>
          <w:lang w:eastAsia="ru-RU"/>
        </w:rPr>
      </w:pPr>
      <w:r w:rsidRPr="00577530">
        <w:rPr>
          <w:rFonts w:ascii="Verdana" w:eastAsia="Times New Roman" w:hAnsi="Verdana" w:cs="Times New Roman"/>
          <w:color w:val="000000"/>
          <w:sz w:val="19"/>
          <w:szCs w:val="19"/>
          <w:lang w:eastAsia="ru-RU"/>
        </w:rPr>
        <w:t xml:space="preserve">Базируясь на методах и методических подходах оценки </w:t>
      </w:r>
      <w:r>
        <w:rPr>
          <w:rFonts w:ascii="Verdana" w:eastAsia="Times New Roman" w:hAnsi="Verdana" w:cs="Times New Roman"/>
          <w:color w:val="000000"/>
          <w:sz w:val="19"/>
          <w:szCs w:val="19"/>
          <w:lang w:eastAsia="ru-RU"/>
        </w:rPr>
        <w:t xml:space="preserve">эффективности </w:t>
      </w:r>
      <w:r w:rsidRPr="00577530">
        <w:rPr>
          <w:rFonts w:ascii="Verdana" w:eastAsia="Times New Roman" w:hAnsi="Verdana" w:cs="Times New Roman"/>
          <w:color w:val="000000"/>
          <w:sz w:val="19"/>
          <w:szCs w:val="19"/>
          <w:lang w:eastAsia="ru-RU"/>
        </w:rPr>
        <w:t xml:space="preserve">инвестиционных проектов и инвестиционной деятельности </w:t>
      </w:r>
      <w:r w:rsidR="009F1513">
        <w:rPr>
          <w:rFonts w:ascii="Verdana" w:eastAsia="Times New Roman" w:hAnsi="Verdana" w:cs="Times New Roman"/>
          <w:color w:val="000000"/>
          <w:sz w:val="19"/>
          <w:szCs w:val="19"/>
          <w:lang w:eastAsia="ru-RU"/>
        </w:rPr>
        <w:t>электро</w:t>
      </w:r>
      <w:r w:rsidRPr="00577530">
        <w:rPr>
          <w:rFonts w:ascii="Verdana" w:eastAsia="Times New Roman" w:hAnsi="Verdana" w:cs="Times New Roman"/>
          <w:color w:val="000000"/>
          <w:sz w:val="19"/>
          <w:szCs w:val="19"/>
          <w:lang w:eastAsia="ru-RU"/>
        </w:rPr>
        <w:t xml:space="preserve">энергетических компаний (разработанных </w:t>
      </w:r>
      <w:proofErr w:type="spellStart"/>
      <w:r w:rsidRPr="00577530">
        <w:rPr>
          <w:rFonts w:ascii="Verdana" w:eastAsia="Times New Roman" w:hAnsi="Verdana" w:cs="Times New Roman"/>
          <w:color w:val="000000"/>
          <w:sz w:val="19"/>
          <w:szCs w:val="19"/>
          <w:lang w:eastAsia="ru-RU"/>
        </w:rPr>
        <w:t>ЭНИНом</w:t>
      </w:r>
      <w:proofErr w:type="spellEnd"/>
      <w:r w:rsidRPr="00577530">
        <w:rPr>
          <w:rFonts w:ascii="Verdana" w:eastAsia="Times New Roman" w:hAnsi="Verdana" w:cs="Times New Roman"/>
          <w:color w:val="000000"/>
          <w:sz w:val="19"/>
          <w:szCs w:val="19"/>
          <w:lang w:eastAsia="ru-RU"/>
        </w:rPr>
        <w:t xml:space="preserve"> совместно с другими специализированными организациями) </w:t>
      </w:r>
      <w:r>
        <w:rPr>
          <w:rFonts w:ascii="Verdana" w:eastAsia="Times New Roman" w:hAnsi="Verdana" w:cs="Times New Roman"/>
          <w:color w:val="000000"/>
          <w:sz w:val="19"/>
          <w:szCs w:val="19"/>
          <w:lang w:eastAsia="ru-RU"/>
        </w:rPr>
        <w:t>И</w:t>
      </w:r>
      <w:r w:rsidRPr="00577530">
        <w:rPr>
          <w:rFonts w:ascii="Verdana" w:eastAsia="Times New Roman" w:hAnsi="Verdana" w:cs="Times New Roman"/>
          <w:color w:val="000000"/>
          <w:sz w:val="19"/>
          <w:szCs w:val="19"/>
          <w:lang w:eastAsia="ru-RU"/>
        </w:rPr>
        <w:t xml:space="preserve">нститут </w:t>
      </w:r>
      <w:r w:rsidR="00FB7DFE">
        <w:rPr>
          <w:rFonts w:ascii="Verdana" w:eastAsia="Times New Roman" w:hAnsi="Verdana" w:cs="Times New Roman"/>
          <w:color w:val="000000"/>
          <w:sz w:val="19"/>
          <w:szCs w:val="19"/>
          <w:lang w:eastAsia="ru-RU"/>
        </w:rPr>
        <w:t>оказывает услуги</w:t>
      </w:r>
      <w:r w:rsidR="00FB7DFE" w:rsidRPr="00FB7DFE">
        <w:rPr>
          <w:rFonts w:ascii="Verdana" w:eastAsia="Times New Roman" w:hAnsi="Verdana" w:cs="Times New Roman"/>
          <w:color w:val="000000"/>
          <w:sz w:val="19"/>
          <w:szCs w:val="19"/>
          <w:lang w:eastAsia="ru-RU"/>
        </w:rPr>
        <w:t xml:space="preserve"> </w:t>
      </w:r>
      <w:r w:rsidR="00FB7DFE">
        <w:rPr>
          <w:rFonts w:ascii="Verdana" w:eastAsia="Times New Roman" w:hAnsi="Verdana" w:cs="Times New Roman"/>
          <w:color w:val="000000"/>
          <w:sz w:val="19"/>
          <w:szCs w:val="19"/>
          <w:lang w:eastAsia="ru-RU"/>
        </w:rPr>
        <w:t xml:space="preserve">в области </w:t>
      </w:r>
      <w:r w:rsidRPr="00577530">
        <w:rPr>
          <w:rFonts w:ascii="Verdana" w:eastAsia="Times New Roman" w:hAnsi="Verdana" w:cs="Times New Roman"/>
          <w:color w:val="000000"/>
          <w:sz w:val="19"/>
          <w:szCs w:val="19"/>
          <w:lang w:eastAsia="ru-RU"/>
        </w:rPr>
        <w:t>разрабо</w:t>
      </w:r>
      <w:r>
        <w:rPr>
          <w:rFonts w:ascii="Verdana" w:eastAsia="Times New Roman" w:hAnsi="Verdana" w:cs="Times New Roman"/>
          <w:color w:val="000000"/>
          <w:sz w:val="19"/>
          <w:szCs w:val="19"/>
          <w:lang w:eastAsia="ru-RU"/>
        </w:rPr>
        <w:t>тк</w:t>
      </w:r>
      <w:r w:rsidR="00FB7DFE">
        <w:rPr>
          <w:rFonts w:ascii="Verdana" w:eastAsia="Times New Roman" w:hAnsi="Verdana" w:cs="Times New Roman"/>
          <w:color w:val="000000"/>
          <w:sz w:val="19"/>
          <w:szCs w:val="19"/>
          <w:lang w:eastAsia="ru-RU"/>
        </w:rPr>
        <w:t>и</w:t>
      </w:r>
      <w:r>
        <w:rPr>
          <w:rFonts w:ascii="Verdana" w:eastAsia="Times New Roman" w:hAnsi="Verdana" w:cs="Times New Roman"/>
          <w:color w:val="000000"/>
          <w:sz w:val="19"/>
          <w:szCs w:val="19"/>
          <w:lang w:eastAsia="ru-RU"/>
        </w:rPr>
        <w:t xml:space="preserve"> </w:t>
      </w:r>
      <w:proofErr w:type="gramStart"/>
      <w:r>
        <w:rPr>
          <w:rFonts w:ascii="Verdana" w:eastAsia="Times New Roman" w:hAnsi="Verdana" w:cs="Times New Roman"/>
          <w:color w:val="000000"/>
          <w:sz w:val="19"/>
          <w:szCs w:val="19"/>
          <w:lang w:eastAsia="ru-RU"/>
        </w:rPr>
        <w:t>бизнес–планов</w:t>
      </w:r>
      <w:proofErr w:type="gramEnd"/>
      <w:r>
        <w:rPr>
          <w:rFonts w:ascii="Verdana" w:eastAsia="Times New Roman" w:hAnsi="Verdana" w:cs="Times New Roman"/>
          <w:color w:val="000000"/>
          <w:sz w:val="19"/>
          <w:szCs w:val="19"/>
          <w:lang w:eastAsia="ru-RU"/>
        </w:rPr>
        <w:t xml:space="preserve"> строительства и расширения;</w:t>
      </w:r>
      <w:r w:rsidRPr="00577530">
        <w:rPr>
          <w:rFonts w:ascii="Verdana" w:eastAsia="Times New Roman" w:hAnsi="Verdana" w:cs="Times New Roman"/>
          <w:color w:val="000000"/>
          <w:sz w:val="19"/>
          <w:szCs w:val="19"/>
          <w:lang w:eastAsia="ru-RU"/>
        </w:rPr>
        <w:t xml:space="preserve"> реконструкции</w:t>
      </w:r>
      <w:r>
        <w:rPr>
          <w:rFonts w:ascii="Verdana" w:eastAsia="Times New Roman" w:hAnsi="Verdana" w:cs="Times New Roman"/>
          <w:color w:val="000000"/>
          <w:sz w:val="19"/>
          <w:szCs w:val="19"/>
          <w:lang w:eastAsia="ru-RU"/>
        </w:rPr>
        <w:t>, технического перевооружения</w:t>
      </w:r>
      <w:r w:rsidRPr="00577530">
        <w:rPr>
          <w:rFonts w:ascii="Verdana" w:eastAsia="Times New Roman" w:hAnsi="Verdana" w:cs="Times New Roman"/>
          <w:color w:val="000000"/>
          <w:sz w:val="19"/>
          <w:szCs w:val="19"/>
          <w:lang w:eastAsia="ru-RU"/>
        </w:rPr>
        <w:t xml:space="preserve"> и модернизации </w:t>
      </w:r>
      <w:r w:rsidR="00585CF9">
        <w:rPr>
          <w:rFonts w:ascii="Verdana" w:eastAsia="Times New Roman" w:hAnsi="Verdana" w:cs="Times New Roman"/>
          <w:color w:val="000000"/>
          <w:sz w:val="19"/>
          <w:szCs w:val="19"/>
          <w:lang w:eastAsia="ru-RU"/>
        </w:rPr>
        <w:t>электро</w:t>
      </w:r>
      <w:r w:rsidRPr="00577530">
        <w:rPr>
          <w:rFonts w:ascii="Verdana" w:eastAsia="Times New Roman" w:hAnsi="Verdana" w:cs="Times New Roman"/>
          <w:color w:val="000000"/>
          <w:sz w:val="19"/>
          <w:szCs w:val="19"/>
          <w:lang w:eastAsia="ru-RU"/>
        </w:rPr>
        <w:t xml:space="preserve">энергетических объектов и комплексов. За период с 1995 г. по настоящее время </w:t>
      </w:r>
      <w:r w:rsidR="00456A21">
        <w:rPr>
          <w:rFonts w:ascii="Verdana" w:eastAsia="Times New Roman" w:hAnsi="Verdana" w:cs="Times New Roman"/>
          <w:color w:val="000000"/>
          <w:sz w:val="19"/>
          <w:szCs w:val="19"/>
          <w:lang w:eastAsia="ru-RU"/>
        </w:rPr>
        <w:t>подразделение</w:t>
      </w:r>
      <w:r w:rsidRPr="00577530">
        <w:rPr>
          <w:rFonts w:ascii="Verdana" w:eastAsia="Times New Roman" w:hAnsi="Verdana" w:cs="Times New Roman"/>
          <w:color w:val="000000"/>
          <w:sz w:val="19"/>
          <w:szCs w:val="19"/>
          <w:lang w:eastAsia="ru-RU"/>
        </w:rPr>
        <w:t xml:space="preserve"> «</w:t>
      </w:r>
      <w:r>
        <w:rPr>
          <w:rFonts w:ascii="Verdana" w:eastAsia="Times New Roman" w:hAnsi="Verdana" w:cs="Times New Roman"/>
          <w:color w:val="000000"/>
          <w:sz w:val="19"/>
          <w:szCs w:val="19"/>
          <w:lang w:eastAsia="ru-RU"/>
        </w:rPr>
        <w:t xml:space="preserve">Оценки </w:t>
      </w:r>
      <w:r w:rsidR="00456A21">
        <w:rPr>
          <w:rFonts w:ascii="Verdana" w:eastAsia="Times New Roman" w:hAnsi="Verdana" w:cs="Times New Roman"/>
          <w:color w:val="000000"/>
          <w:sz w:val="19"/>
          <w:szCs w:val="19"/>
          <w:lang w:eastAsia="ru-RU"/>
        </w:rPr>
        <w:t xml:space="preserve">экономической </w:t>
      </w:r>
      <w:r>
        <w:rPr>
          <w:rFonts w:ascii="Verdana" w:eastAsia="Times New Roman" w:hAnsi="Verdana" w:cs="Times New Roman"/>
          <w:color w:val="000000"/>
          <w:sz w:val="19"/>
          <w:szCs w:val="19"/>
          <w:lang w:eastAsia="ru-RU"/>
        </w:rPr>
        <w:t>э</w:t>
      </w:r>
      <w:r w:rsidRPr="00577530">
        <w:rPr>
          <w:rFonts w:ascii="Verdana" w:eastAsia="Times New Roman" w:hAnsi="Verdana" w:cs="Times New Roman"/>
          <w:color w:val="000000"/>
          <w:sz w:val="19"/>
          <w:szCs w:val="19"/>
          <w:lang w:eastAsia="ru-RU"/>
        </w:rPr>
        <w:t xml:space="preserve">ффективности» приняла участие в разработке более </w:t>
      </w:r>
      <w:r w:rsidR="00E35B40">
        <w:rPr>
          <w:rFonts w:ascii="Verdana" w:eastAsia="Times New Roman" w:hAnsi="Verdana" w:cs="Times New Roman"/>
          <w:color w:val="000000"/>
          <w:sz w:val="19"/>
          <w:szCs w:val="19"/>
          <w:lang w:eastAsia="ru-RU"/>
        </w:rPr>
        <w:t>7</w:t>
      </w:r>
      <w:r w:rsidRPr="00577530">
        <w:rPr>
          <w:rFonts w:ascii="Verdana" w:eastAsia="Times New Roman" w:hAnsi="Verdana" w:cs="Times New Roman"/>
          <w:color w:val="000000"/>
          <w:sz w:val="19"/>
          <w:szCs w:val="19"/>
          <w:lang w:eastAsia="ru-RU"/>
        </w:rPr>
        <w:t xml:space="preserve">0 </w:t>
      </w:r>
      <w:proofErr w:type="gramStart"/>
      <w:r w:rsidRPr="00577530">
        <w:rPr>
          <w:rFonts w:ascii="Verdana" w:eastAsia="Times New Roman" w:hAnsi="Verdana" w:cs="Times New Roman"/>
          <w:color w:val="000000"/>
          <w:sz w:val="19"/>
          <w:szCs w:val="19"/>
          <w:lang w:eastAsia="ru-RU"/>
        </w:rPr>
        <w:t>бизнес–планов</w:t>
      </w:r>
      <w:proofErr w:type="gramEnd"/>
      <w:r w:rsidRPr="00577530">
        <w:rPr>
          <w:rFonts w:ascii="Verdana" w:eastAsia="Times New Roman" w:hAnsi="Verdana" w:cs="Times New Roman"/>
          <w:color w:val="000000"/>
          <w:sz w:val="19"/>
          <w:szCs w:val="19"/>
          <w:lang w:eastAsia="ru-RU"/>
        </w:rPr>
        <w:t>, в числе которых:</w:t>
      </w:r>
    </w:p>
    <w:p w:rsidR="00810F9C" w:rsidRPr="00577530" w:rsidRDefault="00810F9C" w:rsidP="009C4B6E">
      <w:pPr>
        <w:numPr>
          <w:ilvl w:val="0"/>
          <w:numId w:val="1"/>
        </w:numPr>
        <w:shd w:val="clear" w:color="auto" w:fill="FEFFFF"/>
        <w:tabs>
          <w:tab w:val="clear" w:pos="720"/>
          <w:tab w:val="num" w:pos="426"/>
        </w:tabs>
        <w:spacing w:before="100" w:beforeAutospacing="1" w:after="0" w:line="240" w:lineRule="auto"/>
        <w:ind w:left="425" w:hanging="357"/>
        <w:jc w:val="both"/>
        <w:rPr>
          <w:rFonts w:ascii="Verdana" w:eastAsia="Times New Roman" w:hAnsi="Verdana" w:cs="Times New Roman"/>
          <w:color w:val="000000"/>
          <w:sz w:val="19"/>
          <w:szCs w:val="19"/>
          <w:lang w:eastAsia="ru-RU"/>
        </w:rPr>
      </w:pPr>
      <w:r w:rsidRPr="00577530">
        <w:rPr>
          <w:rFonts w:ascii="Verdana" w:eastAsia="Times New Roman" w:hAnsi="Verdana" w:cs="Times New Roman"/>
          <w:noProof/>
          <w:color w:val="000000"/>
          <w:sz w:val="19"/>
          <w:szCs w:val="19"/>
          <w:lang w:eastAsia="ru-RU"/>
        </w:rPr>
        <w:drawing>
          <wp:anchor distT="47625" distB="47625" distL="95250" distR="95250" simplePos="0" relativeHeight="251659264" behindDoc="0" locked="0" layoutInCell="1" allowOverlap="0">
            <wp:simplePos x="0" y="0"/>
            <wp:positionH relativeFrom="column">
              <wp:posOffset>3115310</wp:posOffset>
            </wp:positionH>
            <wp:positionV relativeFrom="line">
              <wp:posOffset>163195</wp:posOffset>
            </wp:positionV>
            <wp:extent cx="2809240" cy="2077085"/>
            <wp:effectExtent l="19050" t="0" r="0" b="0"/>
            <wp:wrapSquare wrapText="bothSides"/>
            <wp:docPr id="1" name="Рисунок 2" descr="http://enin.su.opt-images.1c-bitrix-cdn.ru/images/structure/hidroagregat_2_pic.jpg?139573714727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in.su.opt-images.1c-bitrix-cdn.ru/images/structure/hidroagregat_2_pic.jpg?139573714727440"/>
                    <pic:cNvPicPr>
                      <a:picLocks noChangeAspect="1" noChangeArrowheads="1"/>
                    </pic:cNvPicPr>
                  </pic:nvPicPr>
                  <pic:blipFill>
                    <a:blip r:embed="rId9" cstate="print"/>
                    <a:srcRect/>
                    <a:stretch>
                      <a:fillRect/>
                    </a:stretch>
                  </pic:blipFill>
                  <pic:spPr bwMode="auto">
                    <a:xfrm>
                      <a:off x="0" y="0"/>
                      <a:ext cx="2809240" cy="2077085"/>
                    </a:xfrm>
                    <a:prstGeom prst="rect">
                      <a:avLst/>
                    </a:prstGeom>
                    <a:noFill/>
                    <a:ln w="9525">
                      <a:noFill/>
                      <a:miter lim="800000"/>
                      <a:headEnd/>
                      <a:tailEnd/>
                    </a:ln>
                  </pic:spPr>
                </pic:pic>
              </a:graphicData>
            </a:graphic>
          </wp:anchor>
        </w:drawing>
      </w:r>
      <w:r w:rsidRPr="00577530">
        <w:rPr>
          <w:rFonts w:ascii="Verdana" w:eastAsia="Times New Roman" w:hAnsi="Verdana" w:cs="Times New Roman"/>
          <w:color w:val="000000"/>
          <w:sz w:val="19"/>
          <w:szCs w:val="19"/>
          <w:lang w:eastAsia="ru-RU"/>
        </w:rPr>
        <w:t>Омская ТЭЦ–6 (</w:t>
      </w:r>
      <w:proofErr w:type="gramStart"/>
      <w:r w:rsidRPr="00577530">
        <w:rPr>
          <w:rFonts w:ascii="Verdana" w:eastAsia="Times New Roman" w:hAnsi="Verdana" w:cs="Times New Roman"/>
          <w:color w:val="000000"/>
          <w:sz w:val="19"/>
          <w:szCs w:val="19"/>
          <w:lang w:eastAsia="ru-RU"/>
        </w:rPr>
        <w:t>бизнес–план</w:t>
      </w:r>
      <w:proofErr w:type="gramEnd"/>
      <w:r w:rsidRPr="00577530">
        <w:rPr>
          <w:rFonts w:ascii="Verdana" w:eastAsia="Times New Roman" w:hAnsi="Verdana" w:cs="Times New Roman"/>
          <w:color w:val="000000"/>
          <w:sz w:val="19"/>
          <w:szCs w:val="19"/>
          <w:lang w:eastAsia="ru-RU"/>
        </w:rPr>
        <w:t xml:space="preserve"> реконструкции).</w:t>
      </w:r>
    </w:p>
    <w:p w:rsidR="00810F9C" w:rsidRPr="00577530" w:rsidRDefault="00810F9C" w:rsidP="009C4B6E">
      <w:pPr>
        <w:numPr>
          <w:ilvl w:val="0"/>
          <w:numId w:val="1"/>
        </w:numPr>
        <w:shd w:val="clear" w:color="auto" w:fill="FEFFFF"/>
        <w:tabs>
          <w:tab w:val="clear" w:pos="720"/>
          <w:tab w:val="num" w:pos="426"/>
        </w:tabs>
        <w:spacing w:before="100" w:beforeAutospacing="1" w:after="100" w:afterAutospacing="1" w:line="240" w:lineRule="auto"/>
        <w:ind w:left="426"/>
        <w:jc w:val="both"/>
        <w:rPr>
          <w:rFonts w:ascii="Verdana" w:eastAsia="Times New Roman" w:hAnsi="Verdana" w:cs="Times New Roman"/>
          <w:color w:val="000000"/>
          <w:sz w:val="19"/>
          <w:szCs w:val="19"/>
          <w:lang w:eastAsia="ru-RU"/>
        </w:rPr>
      </w:pPr>
      <w:proofErr w:type="gramStart"/>
      <w:r w:rsidRPr="00577530">
        <w:rPr>
          <w:rFonts w:ascii="Verdana" w:eastAsia="Times New Roman" w:hAnsi="Verdana" w:cs="Times New Roman"/>
          <w:color w:val="000000"/>
          <w:sz w:val="19"/>
          <w:szCs w:val="19"/>
          <w:lang w:eastAsia="ru-RU"/>
        </w:rPr>
        <w:t>Бизнес–план</w:t>
      </w:r>
      <w:proofErr w:type="gramEnd"/>
      <w:r w:rsidRPr="00577530">
        <w:rPr>
          <w:rFonts w:ascii="Verdana" w:eastAsia="Times New Roman" w:hAnsi="Verdana" w:cs="Times New Roman"/>
          <w:color w:val="000000"/>
          <w:sz w:val="19"/>
          <w:szCs w:val="19"/>
          <w:lang w:eastAsia="ru-RU"/>
        </w:rPr>
        <w:t xml:space="preserve"> приобретения (слияния) АО </w:t>
      </w:r>
      <w:proofErr w:type="spellStart"/>
      <w:r w:rsidRPr="00577530">
        <w:rPr>
          <w:rFonts w:ascii="Verdana" w:eastAsia="Times New Roman" w:hAnsi="Verdana" w:cs="Times New Roman"/>
          <w:color w:val="000000"/>
          <w:sz w:val="19"/>
          <w:szCs w:val="19"/>
          <w:lang w:eastAsia="ru-RU"/>
        </w:rPr>
        <w:t>Томскэнерго</w:t>
      </w:r>
      <w:proofErr w:type="spellEnd"/>
      <w:r w:rsidRPr="00577530">
        <w:rPr>
          <w:rFonts w:ascii="Verdana" w:eastAsia="Times New Roman" w:hAnsi="Verdana" w:cs="Times New Roman"/>
          <w:color w:val="000000"/>
          <w:sz w:val="19"/>
          <w:szCs w:val="19"/>
          <w:lang w:eastAsia="ru-RU"/>
        </w:rPr>
        <w:t xml:space="preserve"> с компанией НК ЮКОС.</w:t>
      </w:r>
    </w:p>
    <w:p w:rsidR="00810F9C" w:rsidRPr="00577530" w:rsidRDefault="00810F9C" w:rsidP="009C4B6E">
      <w:pPr>
        <w:numPr>
          <w:ilvl w:val="0"/>
          <w:numId w:val="1"/>
        </w:numPr>
        <w:shd w:val="clear" w:color="auto" w:fill="FEFFFF"/>
        <w:tabs>
          <w:tab w:val="clear" w:pos="720"/>
          <w:tab w:val="num" w:pos="426"/>
        </w:tabs>
        <w:spacing w:before="100" w:beforeAutospacing="1" w:after="100" w:afterAutospacing="1" w:line="240" w:lineRule="auto"/>
        <w:ind w:left="426"/>
        <w:jc w:val="both"/>
        <w:rPr>
          <w:rFonts w:ascii="Verdana" w:eastAsia="Times New Roman" w:hAnsi="Verdana" w:cs="Times New Roman"/>
          <w:color w:val="000000"/>
          <w:sz w:val="19"/>
          <w:szCs w:val="19"/>
          <w:lang w:eastAsia="ru-RU"/>
        </w:rPr>
      </w:pPr>
      <w:proofErr w:type="spellStart"/>
      <w:r w:rsidRPr="00577530">
        <w:rPr>
          <w:rFonts w:ascii="Verdana" w:eastAsia="Times New Roman" w:hAnsi="Verdana" w:cs="Times New Roman"/>
          <w:color w:val="000000"/>
          <w:sz w:val="19"/>
          <w:szCs w:val="19"/>
          <w:lang w:eastAsia="ru-RU"/>
        </w:rPr>
        <w:t>Богучанская</w:t>
      </w:r>
      <w:proofErr w:type="spellEnd"/>
      <w:r w:rsidRPr="00577530">
        <w:rPr>
          <w:rFonts w:ascii="Verdana" w:eastAsia="Times New Roman" w:hAnsi="Verdana" w:cs="Times New Roman"/>
          <w:color w:val="000000"/>
          <w:sz w:val="19"/>
          <w:szCs w:val="19"/>
          <w:lang w:eastAsia="ru-RU"/>
        </w:rPr>
        <w:t xml:space="preserve"> ГЭС (бизнес-план завершения строительства).</w:t>
      </w:r>
    </w:p>
    <w:p w:rsidR="00810F9C" w:rsidRPr="00577530" w:rsidRDefault="00810F9C" w:rsidP="009C4B6E">
      <w:pPr>
        <w:numPr>
          <w:ilvl w:val="0"/>
          <w:numId w:val="1"/>
        </w:numPr>
        <w:shd w:val="clear" w:color="auto" w:fill="FEFFFF"/>
        <w:tabs>
          <w:tab w:val="clear" w:pos="720"/>
          <w:tab w:val="num" w:pos="426"/>
        </w:tabs>
        <w:spacing w:before="100" w:beforeAutospacing="1" w:after="100" w:afterAutospacing="1" w:line="240" w:lineRule="auto"/>
        <w:ind w:left="426"/>
        <w:jc w:val="both"/>
        <w:rPr>
          <w:rFonts w:ascii="Verdana" w:eastAsia="Times New Roman" w:hAnsi="Verdana" w:cs="Times New Roman"/>
          <w:color w:val="000000"/>
          <w:sz w:val="19"/>
          <w:szCs w:val="19"/>
          <w:lang w:eastAsia="ru-RU"/>
        </w:rPr>
      </w:pPr>
      <w:proofErr w:type="gramStart"/>
      <w:r w:rsidRPr="00577530">
        <w:rPr>
          <w:rFonts w:ascii="Verdana" w:eastAsia="Times New Roman" w:hAnsi="Verdana" w:cs="Times New Roman"/>
          <w:color w:val="000000"/>
          <w:sz w:val="19"/>
          <w:szCs w:val="19"/>
          <w:lang w:eastAsia="ru-RU"/>
        </w:rPr>
        <w:t>Бизнес–план</w:t>
      </w:r>
      <w:proofErr w:type="gramEnd"/>
      <w:r w:rsidRPr="00577530">
        <w:rPr>
          <w:rFonts w:ascii="Verdana" w:eastAsia="Times New Roman" w:hAnsi="Verdana" w:cs="Times New Roman"/>
          <w:color w:val="000000"/>
          <w:sz w:val="19"/>
          <w:szCs w:val="19"/>
          <w:lang w:eastAsia="ru-RU"/>
        </w:rPr>
        <w:t xml:space="preserve"> «Строительство </w:t>
      </w:r>
      <w:proofErr w:type="spellStart"/>
      <w:r w:rsidRPr="00577530">
        <w:rPr>
          <w:rFonts w:ascii="Verdana" w:eastAsia="Times New Roman" w:hAnsi="Verdana" w:cs="Times New Roman"/>
          <w:color w:val="000000"/>
          <w:sz w:val="19"/>
          <w:szCs w:val="19"/>
          <w:lang w:eastAsia="ru-RU"/>
        </w:rPr>
        <w:t>тепломагистрали</w:t>
      </w:r>
      <w:proofErr w:type="spellEnd"/>
      <w:r w:rsidRPr="00577530">
        <w:rPr>
          <w:rFonts w:ascii="Verdana" w:eastAsia="Times New Roman" w:hAnsi="Verdana" w:cs="Times New Roman"/>
          <w:color w:val="000000"/>
          <w:sz w:val="19"/>
          <w:szCs w:val="19"/>
          <w:lang w:eastAsia="ru-RU"/>
        </w:rPr>
        <w:t xml:space="preserve"> от Новгородской ТЭЦ до Левобережной котельной».</w:t>
      </w:r>
    </w:p>
    <w:p w:rsidR="00810F9C" w:rsidRPr="00577530" w:rsidRDefault="00810F9C" w:rsidP="009C4B6E">
      <w:pPr>
        <w:numPr>
          <w:ilvl w:val="0"/>
          <w:numId w:val="1"/>
        </w:numPr>
        <w:shd w:val="clear" w:color="auto" w:fill="FEFFFF"/>
        <w:tabs>
          <w:tab w:val="clear" w:pos="720"/>
          <w:tab w:val="num" w:pos="426"/>
        </w:tabs>
        <w:spacing w:before="100" w:beforeAutospacing="1" w:after="100" w:afterAutospacing="1" w:line="240" w:lineRule="auto"/>
        <w:ind w:left="426"/>
        <w:jc w:val="both"/>
        <w:rPr>
          <w:rFonts w:ascii="Verdana" w:eastAsia="Times New Roman" w:hAnsi="Verdana" w:cs="Times New Roman"/>
          <w:color w:val="000000"/>
          <w:sz w:val="19"/>
          <w:szCs w:val="19"/>
          <w:lang w:eastAsia="ru-RU"/>
        </w:rPr>
      </w:pPr>
      <w:r w:rsidRPr="00577530">
        <w:rPr>
          <w:rFonts w:ascii="Verdana" w:eastAsia="Times New Roman" w:hAnsi="Verdana" w:cs="Times New Roman"/>
          <w:color w:val="000000"/>
          <w:sz w:val="19"/>
          <w:szCs w:val="19"/>
          <w:lang w:eastAsia="ru-RU"/>
        </w:rPr>
        <w:t>ОАО «</w:t>
      </w:r>
      <w:proofErr w:type="spellStart"/>
      <w:r w:rsidRPr="00577530">
        <w:rPr>
          <w:rFonts w:ascii="Verdana" w:eastAsia="Times New Roman" w:hAnsi="Verdana" w:cs="Times New Roman"/>
          <w:color w:val="000000"/>
          <w:sz w:val="19"/>
          <w:szCs w:val="19"/>
          <w:lang w:eastAsia="ru-RU"/>
        </w:rPr>
        <w:t>Гусиноозерская</w:t>
      </w:r>
      <w:proofErr w:type="spellEnd"/>
      <w:r w:rsidRPr="00577530">
        <w:rPr>
          <w:rFonts w:ascii="Verdana" w:eastAsia="Times New Roman" w:hAnsi="Verdana" w:cs="Times New Roman"/>
          <w:color w:val="000000"/>
          <w:sz w:val="19"/>
          <w:szCs w:val="19"/>
          <w:lang w:eastAsia="ru-RU"/>
        </w:rPr>
        <w:t xml:space="preserve"> ГРЭС» (</w:t>
      </w:r>
      <w:proofErr w:type="gramStart"/>
      <w:r w:rsidRPr="00577530">
        <w:rPr>
          <w:rFonts w:ascii="Verdana" w:eastAsia="Times New Roman" w:hAnsi="Verdana" w:cs="Times New Roman"/>
          <w:color w:val="000000"/>
          <w:sz w:val="19"/>
          <w:szCs w:val="19"/>
          <w:lang w:eastAsia="ru-RU"/>
        </w:rPr>
        <w:t>бизнес–план</w:t>
      </w:r>
      <w:proofErr w:type="gramEnd"/>
      <w:r w:rsidRPr="00577530">
        <w:rPr>
          <w:rFonts w:ascii="Verdana" w:eastAsia="Times New Roman" w:hAnsi="Verdana" w:cs="Times New Roman"/>
          <w:color w:val="000000"/>
          <w:sz w:val="19"/>
          <w:szCs w:val="19"/>
          <w:lang w:eastAsia="ru-RU"/>
        </w:rPr>
        <w:t xml:space="preserve"> реконструкции энергоблока 200 МВт ст. </w:t>
      </w:r>
      <w:r w:rsidR="00D94338" w:rsidRPr="00577530">
        <w:rPr>
          <w:rFonts w:ascii="Verdana" w:eastAsia="Times New Roman" w:hAnsi="Verdana" w:cs="Times New Roman"/>
          <w:color w:val="000000"/>
          <w:sz w:val="19"/>
          <w:szCs w:val="19"/>
          <w:lang w:eastAsia="ru-RU"/>
        </w:rPr>
        <w:t>№4).</w:t>
      </w:r>
    </w:p>
    <w:p w:rsidR="00810F9C" w:rsidRDefault="00810F9C" w:rsidP="009C4B6E">
      <w:pPr>
        <w:numPr>
          <w:ilvl w:val="0"/>
          <w:numId w:val="1"/>
        </w:numPr>
        <w:shd w:val="clear" w:color="auto" w:fill="FEFFFF"/>
        <w:tabs>
          <w:tab w:val="clear" w:pos="720"/>
          <w:tab w:val="num" w:pos="426"/>
        </w:tabs>
        <w:spacing w:before="100" w:beforeAutospacing="1" w:after="100" w:afterAutospacing="1" w:line="240" w:lineRule="auto"/>
        <w:ind w:left="426"/>
        <w:jc w:val="both"/>
        <w:rPr>
          <w:rFonts w:ascii="Verdana" w:eastAsia="Times New Roman" w:hAnsi="Verdana" w:cs="Times New Roman"/>
          <w:color w:val="000000"/>
          <w:sz w:val="19"/>
          <w:szCs w:val="19"/>
          <w:lang w:eastAsia="ru-RU"/>
        </w:rPr>
      </w:pPr>
      <w:r w:rsidRPr="00577530">
        <w:rPr>
          <w:rFonts w:ascii="Verdana" w:eastAsia="Times New Roman" w:hAnsi="Verdana" w:cs="Times New Roman"/>
          <w:color w:val="000000"/>
          <w:sz w:val="19"/>
          <w:szCs w:val="19"/>
          <w:lang w:eastAsia="ru-RU"/>
        </w:rPr>
        <w:t xml:space="preserve">Бизнес–план Комплекса: </w:t>
      </w:r>
      <w:proofErr w:type="gramStart"/>
      <w:r w:rsidRPr="00577530">
        <w:rPr>
          <w:rFonts w:ascii="Verdana" w:eastAsia="Times New Roman" w:hAnsi="Verdana" w:cs="Times New Roman"/>
          <w:color w:val="000000"/>
          <w:sz w:val="19"/>
          <w:szCs w:val="19"/>
          <w:lang w:eastAsia="ru-RU"/>
        </w:rPr>
        <w:t>нефтегазовое</w:t>
      </w:r>
      <w:proofErr w:type="gramEnd"/>
      <w:r w:rsidRPr="00577530">
        <w:rPr>
          <w:rFonts w:ascii="Verdana" w:eastAsia="Times New Roman" w:hAnsi="Verdana" w:cs="Times New Roman"/>
          <w:color w:val="000000"/>
          <w:sz w:val="19"/>
          <w:szCs w:val="19"/>
          <w:lang w:eastAsia="ru-RU"/>
        </w:rPr>
        <w:t xml:space="preserve"> месторождение–газотурбинная электростанция (на примере </w:t>
      </w:r>
      <w:proofErr w:type="spellStart"/>
      <w:r w:rsidRPr="00577530">
        <w:rPr>
          <w:rFonts w:ascii="Verdana" w:eastAsia="Times New Roman" w:hAnsi="Verdana" w:cs="Times New Roman"/>
          <w:color w:val="000000"/>
          <w:sz w:val="19"/>
          <w:szCs w:val="19"/>
          <w:lang w:eastAsia="ru-RU"/>
        </w:rPr>
        <w:t>Восточно</w:t>
      </w:r>
      <w:proofErr w:type="spellEnd"/>
      <w:r w:rsidRPr="00577530">
        <w:rPr>
          <w:rFonts w:ascii="Verdana" w:eastAsia="Times New Roman" w:hAnsi="Verdana" w:cs="Times New Roman"/>
          <w:color w:val="000000"/>
          <w:sz w:val="19"/>
          <w:szCs w:val="19"/>
          <w:lang w:eastAsia="ru-RU"/>
        </w:rPr>
        <w:t>–</w:t>
      </w:r>
      <w:proofErr w:type="spellStart"/>
      <w:r w:rsidRPr="00577530">
        <w:rPr>
          <w:rFonts w:ascii="Verdana" w:eastAsia="Times New Roman" w:hAnsi="Verdana" w:cs="Times New Roman"/>
          <w:color w:val="000000"/>
          <w:sz w:val="19"/>
          <w:szCs w:val="19"/>
          <w:lang w:eastAsia="ru-RU"/>
        </w:rPr>
        <w:t>рыбушанского</w:t>
      </w:r>
      <w:proofErr w:type="spellEnd"/>
      <w:r w:rsidRPr="00577530">
        <w:rPr>
          <w:rFonts w:ascii="Verdana" w:eastAsia="Times New Roman" w:hAnsi="Verdana" w:cs="Times New Roman"/>
          <w:color w:val="000000"/>
          <w:sz w:val="19"/>
          <w:szCs w:val="19"/>
          <w:lang w:eastAsia="ru-RU"/>
        </w:rPr>
        <w:t xml:space="preserve"> месторождения Саратовской области).</w:t>
      </w:r>
    </w:p>
    <w:p w:rsidR="00690FF1" w:rsidRDefault="00810F9C" w:rsidP="009C4B6E">
      <w:pPr>
        <w:numPr>
          <w:ilvl w:val="0"/>
          <w:numId w:val="1"/>
        </w:numPr>
        <w:shd w:val="clear" w:color="auto" w:fill="FEFFFF"/>
        <w:tabs>
          <w:tab w:val="clear" w:pos="720"/>
          <w:tab w:val="num" w:pos="426"/>
        </w:tabs>
        <w:spacing w:before="100" w:beforeAutospacing="1" w:after="100" w:afterAutospacing="1" w:line="240" w:lineRule="auto"/>
        <w:ind w:left="426"/>
        <w:jc w:val="both"/>
        <w:rPr>
          <w:rFonts w:ascii="Verdana" w:eastAsia="Times New Roman" w:hAnsi="Verdana" w:cs="Times New Roman"/>
          <w:color w:val="000000"/>
          <w:sz w:val="19"/>
          <w:szCs w:val="19"/>
          <w:lang w:eastAsia="ru-RU"/>
        </w:rPr>
      </w:pPr>
      <w:r w:rsidRPr="00BF139B">
        <w:rPr>
          <w:rFonts w:ascii="Verdana" w:eastAsia="Times New Roman" w:hAnsi="Verdana" w:cs="Times New Roman"/>
          <w:color w:val="000000"/>
          <w:sz w:val="19"/>
          <w:szCs w:val="19"/>
          <w:lang w:eastAsia="ru-RU"/>
        </w:rPr>
        <w:t xml:space="preserve">Разработка </w:t>
      </w:r>
      <w:proofErr w:type="spellStart"/>
      <w:r w:rsidRPr="00BF139B">
        <w:rPr>
          <w:rFonts w:ascii="Verdana" w:eastAsia="Times New Roman" w:hAnsi="Verdana" w:cs="Times New Roman"/>
          <w:color w:val="000000"/>
          <w:sz w:val="19"/>
          <w:szCs w:val="19"/>
          <w:lang w:eastAsia="ru-RU"/>
        </w:rPr>
        <w:t>технико</w:t>
      </w:r>
      <w:proofErr w:type="spellEnd"/>
      <w:r w:rsidRPr="00BF139B">
        <w:rPr>
          <w:rFonts w:ascii="Verdana" w:eastAsia="Times New Roman" w:hAnsi="Verdana" w:cs="Times New Roman"/>
          <w:color w:val="000000"/>
          <w:sz w:val="19"/>
          <w:szCs w:val="19"/>
          <w:lang w:eastAsia="ru-RU"/>
        </w:rPr>
        <w:t>–экономического обоснования использования малых нефтегазовых месторождений и создания на их основе блочных модульных электростанций малой и средней мощности.</w:t>
      </w:r>
    </w:p>
    <w:p w:rsidR="00AA3B9B" w:rsidRDefault="001D45FE" w:rsidP="009C4B6E">
      <w:pPr>
        <w:shd w:val="clear" w:color="auto" w:fill="FEFFFF"/>
        <w:spacing w:before="100" w:beforeAutospacing="1" w:after="100" w:afterAutospacing="1" w:line="240" w:lineRule="auto"/>
        <w:jc w:val="both"/>
        <w:rPr>
          <w:rFonts w:ascii="Verdana" w:eastAsia="Times New Roman" w:hAnsi="Verdana" w:cs="Times New Roman"/>
          <w:color w:val="000000"/>
          <w:sz w:val="19"/>
          <w:szCs w:val="19"/>
          <w:lang w:eastAsia="ru-RU"/>
        </w:rPr>
      </w:pPr>
      <w:r>
        <w:rPr>
          <w:rFonts w:ascii="Verdana" w:eastAsia="Times New Roman" w:hAnsi="Verdana" w:cs="Times New Roman"/>
          <w:color w:val="000000"/>
          <w:sz w:val="19"/>
          <w:szCs w:val="19"/>
          <w:lang w:eastAsia="ru-RU"/>
        </w:rPr>
        <w:t>Отдельным</w:t>
      </w:r>
      <w:r w:rsidR="00AC714D">
        <w:rPr>
          <w:rFonts w:ascii="Verdana" w:eastAsia="Times New Roman" w:hAnsi="Verdana" w:cs="Times New Roman"/>
          <w:color w:val="000000"/>
          <w:sz w:val="19"/>
          <w:szCs w:val="19"/>
          <w:lang w:eastAsia="ru-RU"/>
        </w:rPr>
        <w:t>и</w:t>
      </w:r>
      <w:r>
        <w:rPr>
          <w:rFonts w:ascii="Verdana" w:eastAsia="Times New Roman" w:hAnsi="Verdana" w:cs="Times New Roman"/>
          <w:color w:val="000000"/>
          <w:sz w:val="19"/>
          <w:szCs w:val="19"/>
          <w:lang w:eastAsia="ru-RU"/>
        </w:rPr>
        <w:t xml:space="preserve"> поднаправлени</w:t>
      </w:r>
      <w:r w:rsidR="00AC714D">
        <w:rPr>
          <w:rFonts w:ascii="Verdana" w:eastAsia="Times New Roman" w:hAnsi="Verdana" w:cs="Times New Roman"/>
          <w:color w:val="000000"/>
          <w:sz w:val="19"/>
          <w:szCs w:val="19"/>
          <w:lang w:eastAsia="ru-RU"/>
        </w:rPr>
        <w:t>ями</w:t>
      </w:r>
      <w:r>
        <w:rPr>
          <w:rFonts w:ascii="Verdana" w:eastAsia="Times New Roman" w:hAnsi="Verdana" w:cs="Times New Roman"/>
          <w:color w:val="000000"/>
          <w:sz w:val="19"/>
          <w:szCs w:val="19"/>
          <w:lang w:eastAsia="ru-RU"/>
        </w:rPr>
        <w:t xml:space="preserve"> направления о</w:t>
      </w:r>
      <w:r w:rsidRPr="001D45FE">
        <w:rPr>
          <w:rFonts w:ascii="Verdana" w:eastAsia="Times New Roman" w:hAnsi="Verdana" w:cs="Times New Roman"/>
          <w:color w:val="000000"/>
          <w:sz w:val="19"/>
          <w:szCs w:val="19"/>
          <w:lang w:eastAsia="ru-RU"/>
        </w:rPr>
        <w:t>ценк</w:t>
      </w:r>
      <w:r>
        <w:rPr>
          <w:rFonts w:ascii="Verdana" w:eastAsia="Times New Roman" w:hAnsi="Verdana" w:cs="Times New Roman"/>
          <w:color w:val="000000"/>
          <w:sz w:val="19"/>
          <w:szCs w:val="19"/>
          <w:lang w:eastAsia="ru-RU"/>
        </w:rPr>
        <w:t>и</w:t>
      </w:r>
      <w:r w:rsidRPr="001D45FE">
        <w:rPr>
          <w:rFonts w:ascii="Verdana" w:eastAsia="Times New Roman" w:hAnsi="Verdana" w:cs="Times New Roman"/>
          <w:color w:val="000000"/>
          <w:sz w:val="19"/>
          <w:szCs w:val="19"/>
          <w:lang w:eastAsia="ru-RU"/>
        </w:rPr>
        <w:t xml:space="preserve"> эффективности инвестиционных проектов и разработка бизнес-планов в электроэнергетике</w:t>
      </w:r>
      <w:r>
        <w:rPr>
          <w:rFonts w:ascii="Verdana" w:eastAsia="Times New Roman" w:hAnsi="Verdana" w:cs="Times New Roman"/>
          <w:color w:val="000000"/>
          <w:sz w:val="19"/>
          <w:szCs w:val="19"/>
          <w:lang w:eastAsia="ru-RU"/>
        </w:rPr>
        <w:t xml:space="preserve"> с точки зрения интересов акционеров (</w:t>
      </w:r>
      <w:r w:rsidR="009A5E49">
        <w:rPr>
          <w:rFonts w:ascii="Verdana" w:eastAsia="Times New Roman" w:hAnsi="Verdana" w:cs="Times New Roman"/>
          <w:color w:val="000000"/>
          <w:sz w:val="19"/>
          <w:szCs w:val="19"/>
          <w:lang w:eastAsia="ru-RU"/>
        </w:rPr>
        <w:t>ПАО «ФСК ЕЭС», ПАО «Россети»</w:t>
      </w:r>
      <w:r>
        <w:rPr>
          <w:rFonts w:ascii="Verdana" w:eastAsia="Times New Roman" w:hAnsi="Verdana" w:cs="Times New Roman"/>
          <w:color w:val="000000"/>
          <w:sz w:val="19"/>
          <w:szCs w:val="19"/>
          <w:lang w:eastAsia="ru-RU"/>
        </w:rPr>
        <w:t xml:space="preserve">, </w:t>
      </w:r>
      <w:r w:rsidR="00AA3B9B">
        <w:rPr>
          <w:rFonts w:ascii="Verdana" w:eastAsia="Times New Roman" w:hAnsi="Verdana" w:cs="Times New Roman"/>
          <w:color w:val="000000"/>
          <w:sz w:val="19"/>
          <w:szCs w:val="19"/>
          <w:lang w:eastAsia="ru-RU"/>
        </w:rPr>
        <w:t xml:space="preserve">а также </w:t>
      </w:r>
      <w:r w:rsidR="00AA3B9B" w:rsidRPr="00AA3B9B">
        <w:rPr>
          <w:rFonts w:ascii="Verdana" w:eastAsia="Times New Roman" w:hAnsi="Verdana" w:cs="Times New Roman"/>
          <w:color w:val="000000"/>
          <w:sz w:val="19"/>
          <w:szCs w:val="19"/>
          <w:lang w:eastAsia="ru-RU"/>
        </w:rPr>
        <w:t xml:space="preserve">ПАО </w:t>
      </w:r>
      <w:r w:rsidR="009A5E49">
        <w:rPr>
          <w:rFonts w:ascii="Verdana" w:eastAsia="Times New Roman" w:hAnsi="Verdana" w:cs="Times New Roman"/>
          <w:color w:val="000000"/>
          <w:sz w:val="19"/>
          <w:szCs w:val="19"/>
          <w:lang w:eastAsia="ru-RU"/>
        </w:rPr>
        <w:t>«РусГидро»</w:t>
      </w:r>
      <w:r w:rsidR="00AA3B9B">
        <w:rPr>
          <w:rFonts w:ascii="Verdana" w:eastAsia="Times New Roman" w:hAnsi="Verdana" w:cs="Times New Roman"/>
          <w:color w:val="000000"/>
          <w:sz w:val="19"/>
          <w:szCs w:val="19"/>
          <w:lang w:eastAsia="ru-RU"/>
        </w:rPr>
        <w:t>) явля</w:t>
      </w:r>
      <w:r w:rsidR="00770863">
        <w:rPr>
          <w:rFonts w:ascii="Verdana" w:eastAsia="Times New Roman" w:hAnsi="Verdana" w:cs="Times New Roman"/>
          <w:color w:val="000000"/>
          <w:sz w:val="19"/>
          <w:szCs w:val="19"/>
          <w:lang w:eastAsia="ru-RU"/>
        </w:rPr>
        <w:t>ю</w:t>
      </w:r>
      <w:r w:rsidR="00AA3B9B">
        <w:rPr>
          <w:rFonts w:ascii="Verdana" w:eastAsia="Times New Roman" w:hAnsi="Verdana" w:cs="Times New Roman"/>
          <w:color w:val="000000"/>
          <w:sz w:val="19"/>
          <w:szCs w:val="19"/>
          <w:lang w:eastAsia="ru-RU"/>
        </w:rPr>
        <w:t>тся:</w:t>
      </w:r>
    </w:p>
    <w:p w:rsidR="00AA3B9B" w:rsidRPr="00AA3B9B" w:rsidRDefault="00AA3B9B" w:rsidP="009C4B6E">
      <w:pPr>
        <w:pStyle w:val="aa"/>
        <w:numPr>
          <w:ilvl w:val="0"/>
          <w:numId w:val="6"/>
        </w:numPr>
        <w:shd w:val="clear" w:color="auto" w:fill="FEFFFF"/>
        <w:spacing w:before="100" w:beforeAutospacing="1" w:after="100" w:afterAutospacing="1" w:line="240" w:lineRule="auto"/>
        <w:ind w:left="426"/>
        <w:jc w:val="both"/>
        <w:rPr>
          <w:rFonts w:ascii="Verdana" w:eastAsia="Times New Roman" w:hAnsi="Verdana" w:cs="Times New Roman"/>
          <w:color w:val="000000"/>
          <w:sz w:val="19"/>
          <w:szCs w:val="19"/>
          <w:lang w:eastAsia="ru-RU"/>
        </w:rPr>
      </w:pPr>
      <w:r w:rsidRPr="00AA3B9B">
        <w:rPr>
          <w:rFonts w:ascii="Verdana" w:eastAsia="Times New Roman" w:hAnsi="Verdana" w:cs="Times New Roman"/>
          <w:color w:val="000000"/>
          <w:sz w:val="19"/>
          <w:szCs w:val="19"/>
          <w:lang w:eastAsia="ru-RU"/>
        </w:rPr>
        <w:t xml:space="preserve">проведение технико-экономического обоснования </w:t>
      </w:r>
      <w:r>
        <w:rPr>
          <w:rFonts w:ascii="Verdana" w:eastAsia="Times New Roman" w:hAnsi="Verdana" w:cs="Times New Roman"/>
          <w:color w:val="000000"/>
          <w:sz w:val="19"/>
          <w:szCs w:val="19"/>
          <w:lang w:eastAsia="ru-RU"/>
        </w:rPr>
        <w:t>(</w:t>
      </w:r>
      <w:r w:rsidRPr="00AA3B9B">
        <w:rPr>
          <w:rFonts w:ascii="Verdana" w:eastAsia="Times New Roman" w:hAnsi="Verdana" w:cs="Times New Roman"/>
          <w:color w:val="000000"/>
          <w:sz w:val="19"/>
          <w:szCs w:val="19"/>
          <w:lang w:eastAsia="ru-RU"/>
        </w:rPr>
        <w:t>по упрощённой форме</w:t>
      </w:r>
      <w:r>
        <w:rPr>
          <w:rFonts w:ascii="Verdana" w:eastAsia="Times New Roman" w:hAnsi="Verdana" w:cs="Times New Roman"/>
          <w:color w:val="000000"/>
          <w:sz w:val="19"/>
          <w:szCs w:val="19"/>
          <w:lang w:eastAsia="ru-RU"/>
        </w:rPr>
        <w:t>)</w:t>
      </w:r>
      <w:r w:rsidRPr="00AA3B9B">
        <w:rPr>
          <w:rFonts w:ascii="Verdana" w:eastAsia="Times New Roman" w:hAnsi="Verdana" w:cs="Times New Roman"/>
          <w:color w:val="000000"/>
          <w:sz w:val="19"/>
          <w:szCs w:val="19"/>
          <w:lang w:eastAsia="ru-RU"/>
        </w:rPr>
        <w:t xml:space="preserve"> инвестиционных предложений;</w:t>
      </w:r>
    </w:p>
    <w:p w:rsidR="001D45FE" w:rsidRPr="00A314DC" w:rsidRDefault="00AA3B9B" w:rsidP="009C4B6E">
      <w:pPr>
        <w:pStyle w:val="aa"/>
        <w:numPr>
          <w:ilvl w:val="0"/>
          <w:numId w:val="6"/>
        </w:numPr>
        <w:shd w:val="clear" w:color="auto" w:fill="FEFFFF"/>
        <w:spacing w:before="100" w:beforeAutospacing="1" w:after="100" w:afterAutospacing="1" w:line="240" w:lineRule="auto"/>
        <w:ind w:left="426"/>
        <w:jc w:val="both"/>
        <w:rPr>
          <w:rFonts w:ascii="Verdana" w:eastAsia="Times New Roman" w:hAnsi="Verdana" w:cs="Times New Roman"/>
          <w:color w:val="000000"/>
          <w:sz w:val="19"/>
          <w:szCs w:val="19"/>
          <w:lang w:eastAsia="ru-RU"/>
        </w:rPr>
      </w:pPr>
      <w:r w:rsidRPr="00A314DC">
        <w:rPr>
          <w:rFonts w:ascii="Verdana" w:eastAsia="Times New Roman" w:hAnsi="Verdana" w:cs="Times New Roman"/>
          <w:color w:val="000000"/>
          <w:sz w:val="19"/>
          <w:szCs w:val="19"/>
          <w:lang w:eastAsia="ru-RU"/>
        </w:rPr>
        <w:t>экспертиза инвестиционных проектов и инвестиционных программ электросетевых компаний.</w:t>
      </w:r>
    </w:p>
    <w:sectPr w:rsidR="001D45FE" w:rsidRPr="00A314DC" w:rsidSect="009C4B6E">
      <w:footerReference w:type="default" r:id="rId1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5C9" w:rsidRDefault="000505C9" w:rsidP="00ED7E2E">
      <w:pPr>
        <w:spacing w:after="0" w:line="240" w:lineRule="auto"/>
      </w:pPr>
      <w:r>
        <w:separator/>
      </w:r>
    </w:p>
  </w:endnote>
  <w:endnote w:type="continuationSeparator" w:id="0">
    <w:p w:rsidR="000505C9" w:rsidRDefault="000505C9" w:rsidP="00ED7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34876"/>
      <w:docPartObj>
        <w:docPartGallery w:val="Page Numbers (Bottom of Page)"/>
        <w:docPartUnique/>
      </w:docPartObj>
    </w:sdtPr>
    <w:sdtContent>
      <w:p w:rsidR="00ED7E2E" w:rsidRDefault="000308D8">
        <w:pPr>
          <w:pStyle w:val="a8"/>
          <w:jc w:val="center"/>
        </w:pPr>
        <w:fldSimple w:instr=" PAGE   \* MERGEFORMAT ">
          <w:r w:rsidR="00FB7DFE">
            <w:rPr>
              <w:noProof/>
            </w:rPr>
            <w:t>2</w:t>
          </w:r>
        </w:fldSimple>
      </w:p>
    </w:sdtContent>
  </w:sdt>
  <w:p w:rsidR="00ED7E2E" w:rsidRDefault="00ED7E2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5C9" w:rsidRDefault="000505C9" w:rsidP="00ED7E2E">
      <w:pPr>
        <w:spacing w:after="0" w:line="240" w:lineRule="auto"/>
      </w:pPr>
      <w:r>
        <w:separator/>
      </w:r>
    </w:p>
  </w:footnote>
  <w:footnote w:type="continuationSeparator" w:id="0">
    <w:p w:rsidR="000505C9" w:rsidRDefault="000505C9" w:rsidP="00ED7E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C5298"/>
    <w:multiLevelType w:val="multilevel"/>
    <w:tmpl w:val="D1BE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C17EE4"/>
    <w:multiLevelType w:val="multilevel"/>
    <w:tmpl w:val="85A6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012598"/>
    <w:multiLevelType w:val="hybridMultilevel"/>
    <w:tmpl w:val="E80E2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1B4499"/>
    <w:multiLevelType w:val="multilevel"/>
    <w:tmpl w:val="3886F7B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603ADF"/>
    <w:multiLevelType w:val="multilevel"/>
    <w:tmpl w:val="8170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D98318B"/>
    <w:multiLevelType w:val="multilevel"/>
    <w:tmpl w:val="DE0A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577530"/>
    <w:rsid w:val="000308D8"/>
    <w:rsid w:val="00036AB1"/>
    <w:rsid w:val="000505C9"/>
    <w:rsid w:val="000A624F"/>
    <w:rsid w:val="000A682E"/>
    <w:rsid w:val="000F6487"/>
    <w:rsid w:val="0012457C"/>
    <w:rsid w:val="001A2654"/>
    <w:rsid w:val="001D1C8B"/>
    <w:rsid w:val="001D45FE"/>
    <w:rsid w:val="00330AD0"/>
    <w:rsid w:val="00331561"/>
    <w:rsid w:val="003A22DA"/>
    <w:rsid w:val="00452765"/>
    <w:rsid w:val="00456A21"/>
    <w:rsid w:val="00460BED"/>
    <w:rsid w:val="004F21A6"/>
    <w:rsid w:val="00532B6D"/>
    <w:rsid w:val="00577530"/>
    <w:rsid w:val="00585CF9"/>
    <w:rsid w:val="00624B48"/>
    <w:rsid w:val="006400F8"/>
    <w:rsid w:val="00643242"/>
    <w:rsid w:val="00677AF2"/>
    <w:rsid w:val="00686C16"/>
    <w:rsid w:val="00690FF1"/>
    <w:rsid w:val="00691DF6"/>
    <w:rsid w:val="006A48BD"/>
    <w:rsid w:val="00751D9B"/>
    <w:rsid w:val="007579C4"/>
    <w:rsid w:val="00770863"/>
    <w:rsid w:val="007E552D"/>
    <w:rsid w:val="00810F9C"/>
    <w:rsid w:val="008512BD"/>
    <w:rsid w:val="00861396"/>
    <w:rsid w:val="00962953"/>
    <w:rsid w:val="009A5E49"/>
    <w:rsid w:val="009C4B6E"/>
    <w:rsid w:val="009D22F7"/>
    <w:rsid w:val="009F1513"/>
    <w:rsid w:val="00A314DC"/>
    <w:rsid w:val="00A36BB8"/>
    <w:rsid w:val="00A52316"/>
    <w:rsid w:val="00A95D39"/>
    <w:rsid w:val="00AA3B9B"/>
    <w:rsid w:val="00AA6590"/>
    <w:rsid w:val="00AC714D"/>
    <w:rsid w:val="00AD39B8"/>
    <w:rsid w:val="00B2380F"/>
    <w:rsid w:val="00B4222F"/>
    <w:rsid w:val="00BA4DA1"/>
    <w:rsid w:val="00BC4E54"/>
    <w:rsid w:val="00BF139B"/>
    <w:rsid w:val="00C158D4"/>
    <w:rsid w:val="00C5578E"/>
    <w:rsid w:val="00C676A4"/>
    <w:rsid w:val="00C7036B"/>
    <w:rsid w:val="00C87160"/>
    <w:rsid w:val="00CB1400"/>
    <w:rsid w:val="00CC3030"/>
    <w:rsid w:val="00CC51CB"/>
    <w:rsid w:val="00CF0699"/>
    <w:rsid w:val="00D35B20"/>
    <w:rsid w:val="00D7159C"/>
    <w:rsid w:val="00D94338"/>
    <w:rsid w:val="00E27A9B"/>
    <w:rsid w:val="00E35B40"/>
    <w:rsid w:val="00EB6480"/>
    <w:rsid w:val="00ED7E2E"/>
    <w:rsid w:val="00EF4885"/>
    <w:rsid w:val="00FB7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765"/>
  </w:style>
  <w:style w:type="paragraph" w:styleId="1">
    <w:name w:val="heading 1"/>
    <w:basedOn w:val="a"/>
    <w:link w:val="10"/>
    <w:uiPriority w:val="9"/>
    <w:qFormat/>
    <w:rsid w:val="005775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753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775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6BB8"/>
  </w:style>
  <w:style w:type="character" w:styleId="a4">
    <w:name w:val="Strong"/>
    <w:basedOn w:val="a0"/>
    <w:uiPriority w:val="22"/>
    <w:qFormat/>
    <w:rsid w:val="00A36BB8"/>
    <w:rPr>
      <w:b/>
      <w:bCs/>
    </w:rPr>
  </w:style>
  <w:style w:type="character" w:styleId="a5">
    <w:name w:val="Hyperlink"/>
    <w:basedOn w:val="a0"/>
    <w:uiPriority w:val="99"/>
    <w:unhideWhenUsed/>
    <w:rsid w:val="00A36BB8"/>
    <w:rPr>
      <w:color w:val="0000FF"/>
      <w:u w:val="single"/>
    </w:rPr>
  </w:style>
  <w:style w:type="paragraph" w:styleId="a6">
    <w:name w:val="header"/>
    <w:basedOn w:val="a"/>
    <w:link w:val="a7"/>
    <w:uiPriority w:val="99"/>
    <w:semiHidden/>
    <w:unhideWhenUsed/>
    <w:rsid w:val="00ED7E2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D7E2E"/>
  </w:style>
  <w:style w:type="paragraph" w:styleId="a8">
    <w:name w:val="footer"/>
    <w:basedOn w:val="a"/>
    <w:link w:val="a9"/>
    <w:uiPriority w:val="99"/>
    <w:unhideWhenUsed/>
    <w:rsid w:val="00ED7E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7E2E"/>
  </w:style>
  <w:style w:type="paragraph" w:styleId="aa">
    <w:name w:val="List Paragraph"/>
    <w:basedOn w:val="a"/>
    <w:uiPriority w:val="34"/>
    <w:qFormat/>
    <w:rsid w:val="00AA3B9B"/>
    <w:pPr>
      <w:ind w:left="720"/>
      <w:contextualSpacing/>
    </w:pPr>
  </w:style>
</w:styles>
</file>

<file path=word/webSettings.xml><?xml version="1.0" encoding="utf-8"?>
<w:webSettings xmlns:r="http://schemas.openxmlformats.org/officeDocument/2006/relationships" xmlns:w="http://schemas.openxmlformats.org/wordprocessingml/2006/main">
  <w:divs>
    <w:div w:id="503472174">
      <w:bodyDiv w:val="1"/>
      <w:marLeft w:val="0"/>
      <w:marRight w:val="0"/>
      <w:marTop w:val="0"/>
      <w:marBottom w:val="0"/>
      <w:divBdr>
        <w:top w:val="none" w:sz="0" w:space="0" w:color="auto"/>
        <w:left w:val="none" w:sz="0" w:space="0" w:color="auto"/>
        <w:bottom w:val="none" w:sz="0" w:space="0" w:color="auto"/>
        <w:right w:val="none" w:sz="0" w:space="0" w:color="auto"/>
      </w:divBdr>
    </w:div>
    <w:div w:id="630020973">
      <w:bodyDiv w:val="1"/>
      <w:marLeft w:val="0"/>
      <w:marRight w:val="0"/>
      <w:marTop w:val="0"/>
      <w:marBottom w:val="0"/>
      <w:divBdr>
        <w:top w:val="none" w:sz="0" w:space="0" w:color="auto"/>
        <w:left w:val="none" w:sz="0" w:space="0" w:color="auto"/>
        <w:bottom w:val="none" w:sz="0" w:space="0" w:color="auto"/>
        <w:right w:val="none" w:sz="0" w:space="0" w:color="auto"/>
      </w:divBdr>
      <w:divsChild>
        <w:div w:id="1581065476">
          <w:marLeft w:val="0"/>
          <w:marRight w:val="0"/>
          <w:marTop w:val="0"/>
          <w:marBottom w:val="0"/>
          <w:divBdr>
            <w:top w:val="none" w:sz="0" w:space="0" w:color="auto"/>
            <w:left w:val="none" w:sz="0" w:space="0" w:color="auto"/>
            <w:bottom w:val="none" w:sz="0" w:space="0" w:color="auto"/>
            <w:right w:val="none" w:sz="0" w:space="0" w:color="auto"/>
          </w:divBdr>
        </w:div>
      </w:divsChild>
    </w:div>
    <w:div w:id="71979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055;&#1088;&#1080;&#1083;&#1086;&#1078;&#1077;&#1085;&#1080;&#1077;%20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B333C-8F8B-4FD1-94A2-B4A630F2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940</Words>
  <Characters>5363</Characters>
  <Application>Microsoft Office Word</Application>
  <DocSecurity>0</DocSecurity>
  <Lines>44</Lines>
  <Paragraphs>12</Paragraphs>
  <ScaleCrop>false</ScaleCrop>
  <Company>ENIN</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dc:creator>
  <cp:keywords/>
  <dc:description/>
  <cp:lastModifiedBy>DAA</cp:lastModifiedBy>
  <cp:revision>56</cp:revision>
  <dcterms:created xsi:type="dcterms:W3CDTF">2017-05-24T11:00:00Z</dcterms:created>
  <dcterms:modified xsi:type="dcterms:W3CDTF">2019-07-10T06:21:00Z</dcterms:modified>
</cp:coreProperties>
</file>